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487734"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487734"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Greensborough Primary School (2062)</w:t>
      </w:r>
    </w:p>
    <w:p w:rsidR="00BE480F" w:rsidRPr="00361721" w:rsidRDefault="00487734"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0E2EFB" w:rsidTr="00CB7ABD">
        <w:trPr>
          <w:trHeight w:val="11387"/>
        </w:trPr>
        <w:tc>
          <w:tcPr>
            <w:tcW w:w="3141" w:type="dxa"/>
          </w:tcPr>
          <w:p w:rsidR="00821302" w:rsidRDefault="00487734" w:rsidP="00BE480F">
            <w:pPr>
              <w:pStyle w:val="ESHeading2"/>
              <w:rPr>
                <w:b w:val="0"/>
                <w:sz w:val="18"/>
                <w:szCs w:val="18"/>
              </w:rPr>
            </w:pPr>
          </w:p>
          <w:p w:rsidR="00BE480F" w:rsidRPr="00BE480F" w:rsidRDefault="00487734"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28949" cy="1238423"/>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1238423"/>
                          </a:xfrm>
                          <a:prstGeom prst="rect">
                            <a:avLst/>
                          </a:prstGeom>
                        </pic:spPr>
                      </pic:pic>
                    </a:graphicData>
                  </a:graphic>
                </wp:anchor>
              </w:drawing>
            </w:r>
          </w:p>
          <w:p w:rsidR="00BE480F" w:rsidRPr="00BE480F" w:rsidRDefault="00487734"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487734"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0E2EFB" w:rsidTr="007C1665">
                                    <w:trPr>
                                      <w:trHeight w:val="18"/>
                                    </w:trPr>
                                    <w:tc>
                                      <w:tcPr>
                                        <w:tcW w:w="5356" w:type="dxa"/>
                                        <w:vAlign w:val="center"/>
                                      </w:tcPr>
                                      <w:p w:rsidR="006932E3" w:rsidRPr="009D4C10" w:rsidRDefault="00487734"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6932E3" w:rsidRPr="009D4C10" w:rsidRDefault="00487734"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487734"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0E2EFB" w:rsidTr="007C1665">
                                    <w:trPr>
                                      <w:trHeight w:val="48"/>
                                    </w:trPr>
                                    <w:tc>
                                      <w:tcPr>
                                        <w:tcW w:w="5356" w:type="dxa"/>
                                      </w:tcPr>
                                      <w:p w:rsidR="006932E3" w:rsidRDefault="00487734"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2019 at 09:59 AM by Angela Morritt (Principal)</w:t>
                                        </w:r>
                                      </w:p>
                                    </w:tc>
                                  </w:tr>
                                </w:tbl>
                                <w:p w:rsidR="006932E3" w:rsidRDefault="00487734" w:rsidP="00177D7F"/>
                                <w:p w:rsidR="006932E3" w:rsidRDefault="00487734"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0E2EFB" w:rsidTr="007C1665">
                                    <w:trPr>
                                      <w:trHeight w:val="112"/>
                                    </w:trPr>
                                    <w:tc>
                                      <w:tcPr>
                                        <w:tcW w:w="5432" w:type="dxa"/>
                                        <w:vAlign w:val="center"/>
                                      </w:tcPr>
                                      <w:p w:rsidR="006932E3" w:rsidRPr="009D4C10" w:rsidRDefault="00487734" w:rsidP="007C1665">
                                        <w:pPr>
                                          <w:numPr>
                                            <w:ilvl w:val="0"/>
                                            <w:numId w:val="26"/>
                                          </w:numPr>
                                          <w:spacing w:after="0" w:line="240" w:lineRule="auto"/>
                                          <w:ind w:left="301"/>
                                        </w:pPr>
                                        <w:r w:rsidRPr="009D4C10">
                                          <w:t xml:space="preserve">All teachers employed or engaged by the school council </w:t>
                                        </w:r>
                                        <w:r w:rsidRPr="009D4C10">
                                          <w:t>meet the registration requirements of the Victorian Institute of Teaching.</w:t>
                                        </w:r>
                                      </w:p>
                                      <w:p w:rsidR="006932E3" w:rsidRPr="009D4C10" w:rsidRDefault="00487734"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w:t>
                                        </w:r>
                                        <w:r w:rsidRPr="009D4C10">
                                          <w:rPr>
                                            <w:color w:val="333333"/>
                                          </w:rPr>
                                          <w:t xml:space="preserve">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w:t>
                                        </w:r>
                                        <w:r w:rsidRPr="009D4C10">
                                          <w:rPr>
                                            <w:color w:val="333333"/>
                                          </w:rPr>
                                          <w:t>l language program.</w:t>
                                        </w:r>
                                      </w:p>
                                      <w:p w:rsidR="006932E3" w:rsidRDefault="00487734"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0E2EFB" w:rsidTr="007C1665">
                                    <w:trPr>
                                      <w:trHeight w:val="268"/>
                                    </w:trPr>
                                    <w:tc>
                                      <w:tcPr>
                                        <w:tcW w:w="5432" w:type="dxa"/>
                                      </w:tcPr>
                                      <w:p w:rsidR="006932E3" w:rsidRDefault="00487734"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29 April </w:t>
                                        </w:r>
                                        <w:r w:rsidRPr="004C76A5">
                                          <w:rPr>
                                            <w:rFonts w:eastAsia="Arial"/>
                                            <w:noProof/>
                                            <w:color w:val="AF272F"/>
                                          </w:rPr>
                                          <w:t>2019 at 01:39 PM by Kim Hill (School Council President)</w:t>
                                        </w:r>
                                      </w:p>
                                    </w:tc>
                                  </w:tr>
                                </w:tbl>
                                <w:p w:rsidR="006932E3" w:rsidRDefault="00487734"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0E2EFB" w:rsidTr="007C1665">
                              <w:trPr>
                                <w:trHeight w:val="18"/>
                              </w:trPr>
                              <w:tc>
                                <w:tcPr>
                                  <w:tcW w:w="5356" w:type="dxa"/>
                                  <w:vAlign w:val="center"/>
                                </w:tcPr>
                                <w:p w:rsidR="006932E3" w:rsidRPr="009D4C10" w:rsidRDefault="00487734"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6932E3" w:rsidRPr="009D4C10" w:rsidRDefault="00487734"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487734"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0E2EFB" w:rsidTr="007C1665">
                              <w:trPr>
                                <w:trHeight w:val="48"/>
                              </w:trPr>
                              <w:tc>
                                <w:tcPr>
                                  <w:tcW w:w="5356" w:type="dxa"/>
                                </w:tcPr>
                                <w:p w:rsidR="006932E3" w:rsidRDefault="00487734"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2019 at 09:59 AM by Angela Morritt (Principal)</w:t>
                                  </w:r>
                                </w:p>
                              </w:tc>
                            </w:tr>
                          </w:tbl>
                          <w:p w:rsidR="006932E3" w:rsidRDefault="00487734" w:rsidP="00177D7F"/>
                          <w:p w:rsidR="006932E3" w:rsidRDefault="00487734"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0E2EFB" w:rsidTr="007C1665">
                              <w:trPr>
                                <w:trHeight w:val="112"/>
                              </w:trPr>
                              <w:tc>
                                <w:tcPr>
                                  <w:tcW w:w="5432" w:type="dxa"/>
                                  <w:vAlign w:val="center"/>
                                </w:tcPr>
                                <w:p w:rsidR="006932E3" w:rsidRPr="009D4C10" w:rsidRDefault="00487734" w:rsidP="007C1665">
                                  <w:pPr>
                                    <w:numPr>
                                      <w:ilvl w:val="0"/>
                                      <w:numId w:val="26"/>
                                    </w:numPr>
                                    <w:spacing w:after="0" w:line="240" w:lineRule="auto"/>
                                    <w:ind w:left="301"/>
                                  </w:pPr>
                                  <w:r w:rsidRPr="009D4C10">
                                    <w:t xml:space="preserve">All teachers employed or engaged by the school council </w:t>
                                  </w:r>
                                  <w:r w:rsidRPr="009D4C10">
                                    <w:t>meet the registration requirements of the Victorian Institute of Teaching.</w:t>
                                  </w:r>
                                </w:p>
                                <w:p w:rsidR="006932E3" w:rsidRPr="009D4C10" w:rsidRDefault="00487734"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w:t>
                                  </w:r>
                                  <w:r w:rsidRPr="009D4C10">
                                    <w:rPr>
                                      <w:color w:val="333333"/>
                                    </w:rPr>
                                    <w:t xml:space="preserve">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w:t>
                                  </w:r>
                                  <w:r w:rsidRPr="009D4C10">
                                    <w:rPr>
                                      <w:color w:val="333333"/>
                                    </w:rPr>
                                    <w:t>l language program.</w:t>
                                  </w:r>
                                </w:p>
                                <w:p w:rsidR="006932E3" w:rsidRDefault="00487734"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0E2EFB" w:rsidTr="007C1665">
                              <w:trPr>
                                <w:trHeight w:val="268"/>
                              </w:trPr>
                              <w:tc>
                                <w:tcPr>
                                  <w:tcW w:w="5432" w:type="dxa"/>
                                </w:tcPr>
                                <w:p w:rsidR="006932E3" w:rsidRDefault="00487734"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29 April </w:t>
                                  </w:r>
                                  <w:r w:rsidRPr="004C76A5">
                                    <w:rPr>
                                      <w:rFonts w:eastAsia="Arial"/>
                                      <w:noProof/>
                                      <w:color w:val="AF272F"/>
                                    </w:rPr>
                                    <w:t>2019 at 01:39 PM by Kim Hill (School Council President)</w:t>
                                  </w:r>
                                </w:p>
                              </w:tc>
                            </w:tr>
                          </w:tbl>
                          <w:p w:rsidR="006932E3" w:rsidRDefault="00487734" w:rsidP="00177D7F"/>
                        </w:txbxContent>
                      </v:textbox>
                      <w10:wrap anchorx="margin"/>
                    </v:shape>
                  </w:pict>
                </mc:Fallback>
              </mc:AlternateContent>
            </w:r>
          </w:p>
        </w:tc>
      </w:tr>
    </w:tbl>
    <w:p w:rsidR="00BE480F" w:rsidRDefault="00487734" w:rsidP="00AF1438">
      <w:pPr>
        <w:ind w:left="540" w:right="419"/>
        <w:rPr>
          <w:color w:val="595959" w:themeColor="text1" w:themeTint="A6"/>
        </w:rPr>
      </w:pPr>
    </w:p>
    <w:p w:rsidR="00481904" w:rsidRDefault="00487734"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footerReference w:type="first" r:id="rId22"/>
          <w:pgSz w:w="11906" w:h="16838" w:code="9"/>
          <w:pgMar w:top="1005" w:right="737" w:bottom="1304" w:left="562" w:header="624" w:footer="1134" w:gutter="0"/>
          <w:cols w:space="397"/>
          <w:docGrid w:linePitch="360"/>
        </w:sectPr>
      </w:pPr>
    </w:p>
    <w:p w:rsidR="00BF76C7" w:rsidRPr="00242590" w:rsidRDefault="00487734" w:rsidP="00B42C9B">
      <w:pPr>
        <w:ind w:left="-540" w:right="-632"/>
        <w:jc w:val="center"/>
        <w:rPr>
          <w:b/>
          <w:color w:val="AF272F"/>
          <w:sz w:val="32"/>
          <w:szCs w:val="32"/>
        </w:rPr>
      </w:pPr>
      <w:r>
        <w:rPr>
          <w:b/>
          <w:color w:val="AF272F"/>
          <w:sz w:val="36"/>
          <w:szCs w:val="44"/>
        </w:rPr>
        <w:lastRenderedPageBreak/>
        <w:t>About Our School</w:t>
      </w:r>
    </w:p>
    <w:p w:rsidR="0038585D" w:rsidRPr="00864EAA" w:rsidRDefault="00487734"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0E2EFB" w:rsidTr="00A02803">
        <w:trPr>
          <w:trHeight w:val="15"/>
        </w:trPr>
        <w:tc>
          <w:tcPr>
            <w:tcW w:w="10226" w:type="dxa"/>
            <w:shd w:val="clear" w:color="auto" w:fill="D9D9D9" w:themeFill="background1" w:themeFillShade="D9"/>
          </w:tcPr>
          <w:p w:rsidR="00777DB2" w:rsidRPr="001C2589" w:rsidRDefault="00487734" w:rsidP="00994A0F">
            <w:pPr>
              <w:pStyle w:val="Heading3"/>
              <w:spacing w:before="0" w:after="0"/>
              <w:rPr>
                <w:sz w:val="24"/>
                <w:szCs w:val="24"/>
              </w:rPr>
            </w:pPr>
            <w:r w:rsidRPr="005206F9">
              <w:rPr>
                <w:sz w:val="22"/>
                <w:szCs w:val="22"/>
              </w:rPr>
              <w:t xml:space="preserve">School </w:t>
            </w:r>
            <w:r>
              <w:rPr>
                <w:sz w:val="22"/>
                <w:szCs w:val="22"/>
              </w:rPr>
              <w:t>context</w:t>
            </w:r>
          </w:p>
        </w:tc>
      </w:tr>
      <w:tr w:rsidR="000E2EFB" w:rsidTr="00A02803">
        <w:trPr>
          <w:trHeight w:val="15"/>
        </w:trPr>
        <w:tc>
          <w:tcPr>
            <w:tcW w:w="10226" w:type="dxa"/>
            <w:shd w:val="clear" w:color="auto" w:fill="FFFFFF" w:themeFill="background1"/>
          </w:tcPr>
          <w:p w:rsidR="00777DB2" w:rsidRPr="005A75E6" w:rsidRDefault="00487734" w:rsidP="00994A0F">
            <w:pPr>
              <w:pStyle w:val="Heading3"/>
              <w:spacing w:before="0" w:after="0"/>
              <w:rPr>
                <w:b w:val="0"/>
                <w:szCs w:val="20"/>
              </w:rPr>
            </w:pPr>
            <w:r>
              <w:rPr>
                <w:b w:val="0"/>
              </w:rPr>
              <w:t xml:space="preserve">Greensborough Primary takes </w:t>
            </w:r>
            <w:r>
              <w:rPr>
                <w:b w:val="0"/>
              </w:rPr>
              <w:t>great pride in providing a nurturing and supportive environment where every student is recognized for their strengths and comprehensive, engaging curriculum programs are provided to ensure that all students have the opportunity to achieve positive academic</w:t>
            </w:r>
            <w:r>
              <w:rPr>
                <w:b w:val="0"/>
              </w:rPr>
              <w:t>, social and emotional learning outcomes. The school has a highly involved and committed parent community with the school’s overall socio-economic profile being in the Mid-range.</w:t>
            </w:r>
            <w:r>
              <w:rPr>
                <w:b w:val="0"/>
              </w:rPr>
              <w:br/>
              <w:t>The existing school buildings continue to be state of the art with large airy</w:t>
            </w:r>
            <w:r>
              <w:rPr>
                <w:b w:val="0"/>
              </w:rPr>
              <w:t xml:space="preserve"> classrooms, which open onto landscaped outdoor learning areas. Indoor wet areas, a purpose built library, visual arts classroom, canteen and hall are all contained within the one Architect Designed building. During 2018 the school’s committed Buildings an</w:t>
            </w:r>
            <w:r>
              <w:rPr>
                <w:b w:val="0"/>
              </w:rPr>
              <w:t>d Grounds committee planned and completed the final flooring and painting tasks remaining after the major upgrade in 2017 with the entire school now having a fresh and modern appearance. The original school building, which has heritage listing, provides th</w:t>
            </w:r>
            <w:r>
              <w:rPr>
                <w:b w:val="0"/>
              </w:rPr>
              <w:t>e venue for STEM (Science, Technology, Engineering and Maths), Chinese and Music classes. The school is continually upgrading its grounds with the addition of outdoor learning areas, passive play areas and sandpits and the establishment of an environmental</w:t>
            </w:r>
            <w:r>
              <w:rPr>
                <w:b w:val="0"/>
              </w:rPr>
              <w:t xml:space="preserve"> garden area. During 2018 enhancements to the school grounds included the selection of a successful tender to replace the dated bitumen basketball court with a synthetic grass surface, extensive tree works to maintain the safety of the school grounds and m</w:t>
            </w:r>
            <w:r>
              <w:rPr>
                <w:b w:val="0"/>
              </w:rPr>
              <w:t>inimize the impact of overhanging trees on school buildings and the continued works to edge and contain school garden beds to maintain clear walkways and play areas. 2018 saw the school celebrate its 140th Anniversary with a whole school focus on history c</w:t>
            </w:r>
            <w:r>
              <w:rPr>
                <w:b w:val="0"/>
              </w:rPr>
              <w:t>ulminating in a highly successful community celebration of the life of the school. At this time the school also hosted its biennial Art Show which showcased the outstanding artistic achievements of the students in the school. In Term Three the school exten</w:t>
            </w:r>
            <w:r>
              <w:rPr>
                <w:b w:val="0"/>
              </w:rPr>
              <w:t>ded its Chinese language program by hosting a group of five students from China. A range of cultural and creative programs facilitated the exchange of ideas and language skills and this proved to be a very positive experience for all concerned.</w:t>
            </w:r>
            <w:r>
              <w:rPr>
                <w:b w:val="0"/>
              </w:rPr>
              <w:br/>
              <w:t>The school’</w:t>
            </w:r>
            <w:r>
              <w:rPr>
                <w:b w:val="0"/>
              </w:rPr>
              <w:t>s commitment to Student Welfare and Wellbeing was demonstrated in 2018 with the continued implementation of the Friendship Tree and Student Wellbeing Leaders Program, the ongoing commitment to the PATHS program across the school and Professional Developmen</w:t>
            </w:r>
            <w:r>
              <w:rPr>
                <w:b w:val="0"/>
              </w:rPr>
              <w:t>t in Respectful Relationships and Disability Standards. To support student engagement the school implements an excursions and camping program, Junior School Council initiatives, the Grade Six /Prep Buddy program and events throughout the year such as the E</w:t>
            </w:r>
            <w:r>
              <w:rPr>
                <w:b w:val="0"/>
              </w:rPr>
              <w:t>aster Hat activities morning and festivities associated with Book Week.</w:t>
            </w:r>
            <w:r>
              <w:rPr>
                <w:b w:val="0"/>
              </w:rPr>
              <w:br/>
              <w:t>In 2019 the school has 165 students with five full time and four part time class teachers, a Literacy Support specialist and four specialist teachers in the areas of Library, Visual Ar</w:t>
            </w:r>
            <w:r>
              <w:rPr>
                <w:b w:val="0"/>
              </w:rPr>
              <w:t>ts, STEM and Chinese,. Six Educational Support staff provide one on one support for students with specific learning needs and facilitate intervention and extension programs for small groups of students. All students in Grades Three to Six are involved in t</w:t>
            </w:r>
            <w:r>
              <w:rPr>
                <w:b w:val="0"/>
              </w:rPr>
              <w:t>he Spelling Mastery program.  Those students identified as requiring additional support are involved in the Corrective Reading Program and, across the school, the VCOP writing program implemented in 2014 is continuing.  The Magic Maths program, first imple</w:t>
            </w:r>
            <w:r>
              <w:rPr>
                <w:b w:val="0"/>
              </w:rPr>
              <w:t>mented at the school in 2014, continues to achieve positive outcomes with students engaged for three hours per week in an explicit, focused number program where the curriculum and outcomes are tightly structured and scaffolded, to ensure maximum understand</w:t>
            </w:r>
            <w:r>
              <w:rPr>
                <w:b w:val="0"/>
              </w:rPr>
              <w:t>ing and growth.</w:t>
            </w:r>
            <w:r>
              <w:rPr>
                <w:b w:val="0"/>
              </w:rPr>
              <w:br/>
              <w:t>Survey results from the Parent Satisfaction Summary were at the median of all government primary schools and School Staff survey results were above the median of all government primary schools.</w:t>
            </w:r>
            <w:r>
              <w:rPr>
                <w:b w:val="0"/>
              </w:rPr>
              <w:br/>
              <w:t>The school continues to operate on a philosoph</w:t>
            </w:r>
            <w:r>
              <w:rPr>
                <w:b w:val="0"/>
              </w:rPr>
              <w:t>y of mutual respect between staff and students and the community where student leadership and involvement in a rich and diverse curriculum promotes student engagement. Greensborough Primary School embraces strong community participation and enthusiasticall</w:t>
            </w:r>
            <w:r>
              <w:rPr>
                <w:b w:val="0"/>
              </w:rPr>
              <w:t>y welcomes parental involvement and participation in the life of the school. The school's values of Cooperation, Achievement, Respect and Empathy are embedded in the daily fabric of the school.</w:t>
            </w:r>
            <w:r>
              <w:rPr>
                <w:b w:val="0"/>
              </w:rPr>
              <w:br/>
            </w:r>
          </w:p>
        </w:tc>
      </w:tr>
      <w:tr w:rsidR="000E2EFB" w:rsidTr="00A02803">
        <w:trPr>
          <w:trHeight w:val="15"/>
        </w:trPr>
        <w:tc>
          <w:tcPr>
            <w:tcW w:w="10226" w:type="dxa"/>
            <w:shd w:val="clear" w:color="auto" w:fill="D9D9D9" w:themeFill="background1" w:themeFillShade="D9"/>
          </w:tcPr>
          <w:p w:rsidR="00777DB2" w:rsidRDefault="00487734" w:rsidP="00994A0F">
            <w:pPr>
              <w:pStyle w:val="Heading3"/>
              <w:spacing w:before="0" w:after="0"/>
              <w:rPr>
                <w:szCs w:val="20"/>
              </w:rPr>
            </w:pPr>
            <w:r w:rsidRPr="00D3162B">
              <w:rPr>
                <w:sz w:val="22"/>
                <w:szCs w:val="22"/>
              </w:rPr>
              <w:t>Framework for Improving Student Outcomes (FISO)</w:t>
            </w:r>
          </w:p>
        </w:tc>
      </w:tr>
      <w:tr w:rsidR="000E2EFB" w:rsidTr="00A02803">
        <w:trPr>
          <w:trHeight w:val="15"/>
        </w:trPr>
        <w:tc>
          <w:tcPr>
            <w:tcW w:w="10226" w:type="dxa"/>
            <w:shd w:val="clear" w:color="auto" w:fill="FFFFFF" w:themeFill="background1"/>
          </w:tcPr>
          <w:p w:rsidR="00777DB2" w:rsidRPr="005A75E6" w:rsidRDefault="00487734" w:rsidP="00994A0F">
            <w:pPr>
              <w:pStyle w:val="Heading3"/>
              <w:spacing w:before="0" w:after="0"/>
              <w:rPr>
                <w:b w:val="0"/>
                <w:szCs w:val="20"/>
              </w:rPr>
            </w:pPr>
            <w:r>
              <w:rPr>
                <w:b w:val="0"/>
              </w:rPr>
              <w:lastRenderedPageBreak/>
              <w:t>In line wit</w:t>
            </w:r>
            <w:r>
              <w:rPr>
                <w:b w:val="0"/>
              </w:rPr>
              <w:t>h the school’s 2018 AIP Improvement Initiative to ‘Build Practice Excellence’  the school focused strongly on consistent, whole school planning, the use of data to drive explicit teaching to ensure a well-balanced, highly differentiated program and the pro</w:t>
            </w:r>
            <w:r>
              <w:rPr>
                <w:b w:val="0"/>
              </w:rPr>
              <w:t>motion of ‘Curiosity’ through the implementation of Inquiry Learning programs. The school funded a Professional Learning and Planning Day with Kath Murdoch to foster understanding and promote a whole school approach to the delivery of Inquiry based learnin</w:t>
            </w:r>
            <w:r>
              <w:rPr>
                <w:b w:val="0"/>
              </w:rPr>
              <w:t>g programs.</w:t>
            </w:r>
            <w:r>
              <w:rPr>
                <w:b w:val="0"/>
              </w:rPr>
              <w:br/>
              <w:t>Protocols for whole school planning, templates and learning teams with support provided by senior teachers, ensured high quality planning, preparation and clearly defined learning intentions and goals.</w:t>
            </w:r>
            <w:r>
              <w:rPr>
                <w:b w:val="0"/>
              </w:rPr>
              <w:br/>
              <w:t>The embedding of a well function, producti</w:t>
            </w:r>
            <w:r>
              <w:rPr>
                <w:b w:val="0"/>
              </w:rPr>
              <w:t>ve SIT (School Improvement Team) ensured that communication and delivery of programs, initiative and professional leaning across the school was enhanced.</w:t>
            </w:r>
            <w:r>
              <w:rPr>
                <w:b w:val="0"/>
              </w:rPr>
              <w:br/>
              <w:t>A highly differentiated class program, assisted by research based programs such as Spelling Mastery an</w:t>
            </w:r>
            <w:r>
              <w:rPr>
                <w:b w:val="0"/>
              </w:rPr>
              <w:t>d Corrective Reading and the whole school approach to Number with all students from Grades One to Six working in their ‘zones of proximal development’ assisted in the achievement of the goals of consistency in curriculum delivery and high quality student o</w:t>
            </w:r>
            <w:r>
              <w:rPr>
                <w:b w:val="0"/>
              </w:rPr>
              <w:t>utcomes with the meeting of the needs of all students in the school being a strong priority</w:t>
            </w:r>
            <w:r>
              <w:rPr>
                <w:b w:val="0"/>
              </w:rPr>
              <w:br/>
            </w:r>
          </w:p>
        </w:tc>
      </w:tr>
      <w:tr w:rsidR="000E2EFB" w:rsidTr="00A02803">
        <w:trPr>
          <w:trHeight w:val="15"/>
        </w:trPr>
        <w:tc>
          <w:tcPr>
            <w:tcW w:w="10226" w:type="dxa"/>
            <w:shd w:val="clear" w:color="auto" w:fill="D9D9D9" w:themeFill="background1" w:themeFillShade="D9"/>
          </w:tcPr>
          <w:p w:rsidR="00777DB2" w:rsidRDefault="00487734" w:rsidP="00994A0F">
            <w:pPr>
              <w:pStyle w:val="Heading3"/>
              <w:spacing w:before="0" w:after="0"/>
              <w:rPr>
                <w:szCs w:val="20"/>
              </w:rPr>
            </w:pPr>
            <w:r w:rsidRPr="00D3162B">
              <w:rPr>
                <w:sz w:val="22"/>
                <w:szCs w:val="22"/>
              </w:rPr>
              <w:t>Achievement</w:t>
            </w:r>
          </w:p>
        </w:tc>
      </w:tr>
      <w:tr w:rsidR="000E2EFB" w:rsidTr="00A02803">
        <w:trPr>
          <w:trHeight w:val="15"/>
        </w:trPr>
        <w:tc>
          <w:tcPr>
            <w:tcW w:w="10226" w:type="dxa"/>
            <w:shd w:val="clear" w:color="auto" w:fill="FFFFFF" w:themeFill="background1"/>
          </w:tcPr>
          <w:p w:rsidR="00777DB2" w:rsidRPr="005A75E6" w:rsidRDefault="00487734" w:rsidP="00994A0F">
            <w:pPr>
              <w:pStyle w:val="Heading3"/>
              <w:spacing w:before="0" w:after="0"/>
              <w:rPr>
                <w:b w:val="0"/>
                <w:szCs w:val="20"/>
              </w:rPr>
            </w:pPr>
            <w:r>
              <w:rPr>
                <w:b w:val="0"/>
              </w:rPr>
              <w:t xml:space="preserve">2018 Grade Three NAPLAN results show that, in both Reading and Numeracy, the school is achieving a ‘Similar’ rating in the school comparison summary </w:t>
            </w:r>
            <w:r>
              <w:rPr>
                <w:b w:val="0"/>
              </w:rPr>
              <w:t>with the four year trend data for both Grade Three Reading and Numeracy being in the “Higher’ range. In 2018 the Grade Five results in NAPLAN for both Reading and Numeracy were above the state mean with the Reading in the ‘Similar’ range in the school comp</w:t>
            </w:r>
            <w:r>
              <w:rPr>
                <w:b w:val="0"/>
              </w:rPr>
              <w:t>arison summary and Numeracy in the ‘Higher’ range. The four year trend data for Grade Five Reading and Numeracy were both in the ‘Similar’ range in the school comparison summary</w:t>
            </w:r>
            <w:r>
              <w:rPr>
                <w:b w:val="0"/>
              </w:rPr>
              <w:br/>
              <w:t>The Relative Growth (2016 -2019) shows that 85% of students made Medium or Hig</w:t>
            </w:r>
            <w:r>
              <w:rPr>
                <w:b w:val="0"/>
              </w:rPr>
              <w:t xml:space="preserve">h growth in Numeracy and Spelling, 75% of students made Medium or High growth in Writing, 62% of students made Medium or High growth in Grammar and Punctuation and 54% of students made Medium or High growth in Reading  ,  </w:t>
            </w:r>
            <w:r>
              <w:rPr>
                <w:b w:val="0"/>
              </w:rPr>
              <w:br/>
              <w:t xml:space="preserve">During 2018 the school continued </w:t>
            </w:r>
            <w:r>
              <w:rPr>
                <w:b w:val="0"/>
              </w:rPr>
              <w:t xml:space="preserve">to focus on consistency in planning and curriculum delivery, to ensure that a differentiated program tightly aligned to student abilities and potential was delivered across the school. The Corrective Reading program has provided research based scaffolding </w:t>
            </w:r>
            <w:r>
              <w:rPr>
                <w:b w:val="0"/>
              </w:rPr>
              <w:t>to support students identified as requiring additional assistance in Reading. The implementation of the Spelling Mastery program for all students in Grades 3-6 has resulted in measurable improvements in students’ written language skills.  Magic Maths, wher</w:t>
            </w:r>
            <w:r>
              <w:rPr>
                <w:b w:val="0"/>
              </w:rPr>
              <w:t>e students are grouped according to the ‘zone of proximal development’, has resulted in high levels of engagement and achievement in the Number component of the Numeracy curriculum.</w:t>
            </w:r>
            <w:r>
              <w:rPr>
                <w:b w:val="0"/>
              </w:rPr>
              <w:br/>
              <w:t>The school continued to fund a Literacy Coordinator in 2018 to collaborate</w:t>
            </w:r>
            <w:r>
              <w:rPr>
                <w:b w:val="0"/>
              </w:rPr>
              <w:t xml:space="preserve"> and work with all staff to ensure that consistency in lesson delivery and student outcomes was established to provide solid foundations for students in their ongoing Literacy skill development.</w:t>
            </w:r>
            <w:r>
              <w:rPr>
                <w:b w:val="0"/>
              </w:rPr>
              <w:br/>
            </w:r>
          </w:p>
        </w:tc>
      </w:tr>
      <w:tr w:rsidR="000E2EFB" w:rsidTr="00A02803">
        <w:trPr>
          <w:trHeight w:val="15"/>
        </w:trPr>
        <w:tc>
          <w:tcPr>
            <w:tcW w:w="10226" w:type="dxa"/>
            <w:shd w:val="clear" w:color="auto" w:fill="D9D9D9" w:themeFill="background1" w:themeFillShade="D9"/>
          </w:tcPr>
          <w:p w:rsidR="00777DB2" w:rsidRPr="00D3162B" w:rsidRDefault="00487734" w:rsidP="00994A0F">
            <w:pPr>
              <w:pStyle w:val="Heading3"/>
              <w:spacing w:before="0" w:after="0"/>
              <w:rPr>
                <w:sz w:val="22"/>
                <w:szCs w:val="22"/>
              </w:rPr>
            </w:pPr>
            <w:r w:rsidRPr="00D3162B">
              <w:rPr>
                <w:sz w:val="22"/>
                <w:szCs w:val="22"/>
              </w:rPr>
              <w:t>Engagement</w:t>
            </w:r>
          </w:p>
        </w:tc>
      </w:tr>
      <w:tr w:rsidR="000E2EFB" w:rsidTr="00A02803">
        <w:trPr>
          <w:trHeight w:val="15"/>
        </w:trPr>
        <w:tc>
          <w:tcPr>
            <w:tcW w:w="10226" w:type="dxa"/>
            <w:shd w:val="clear" w:color="auto" w:fill="FFFFFF" w:themeFill="background1"/>
          </w:tcPr>
          <w:p w:rsidR="00777DB2" w:rsidRPr="005A75E6" w:rsidRDefault="00487734" w:rsidP="00994A0F">
            <w:pPr>
              <w:pStyle w:val="Heading3"/>
              <w:spacing w:before="0" w:after="0"/>
              <w:rPr>
                <w:b w:val="0"/>
                <w:szCs w:val="20"/>
              </w:rPr>
            </w:pPr>
            <w:r>
              <w:rPr>
                <w:b w:val="0"/>
              </w:rPr>
              <w:t xml:space="preserve">Greensborough Primary School’s student absence </w:t>
            </w:r>
            <w:r>
              <w:rPr>
                <w:b w:val="0"/>
              </w:rPr>
              <w:t>is slightly above the state median for all Victorian government schools but is in a similar range when compared to other schools with students with similar background characteristics. The school continues to closely monitor student attendance with proactiv</w:t>
            </w:r>
            <w:r>
              <w:rPr>
                <w:b w:val="0"/>
              </w:rPr>
              <w:t>e contact with families to ensure high levels of understanding about the reasons for school absence and to identify any areas in which the school could provide support.</w:t>
            </w:r>
            <w:r>
              <w:rPr>
                <w:b w:val="0"/>
              </w:rPr>
              <w:br/>
              <w:t>The purchase of new technology in 2018, the introduction of Coding and Robotics, divers</w:t>
            </w:r>
            <w:r>
              <w:rPr>
                <w:b w:val="0"/>
              </w:rPr>
              <w:t>e curriculum programs and the proactive involvement of a range of support programs have all assisted in promoting and enhancing student engagement.</w:t>
            </w:r>
            <w:r>
              <w:rPr>
                <w:b w:val="0"/>
              </w:rPr>
              <w:br/>
              <w:t>The school’s comprehensive Student Leadership Program, Prep-6 Buddies Program, Literacy, Art, Science, Codin</w:t>
            </w:r>
            <w:r>
              <w:rPr>
                <w:b w:val="0"/>
              </w:rPr>
              <w:t>g and Gateways Extension programs and the Student Wellbeing Leaders program have all given students the opportunity to pursue individual areas of high interest and challenge.</w:t>
            </w:r>
            <w:r>
              <w:rPr>
                <w:b w:val="0"/>
              </w:rPr>
              <w:br/>
              <w:t>Whilst maintaining the much valued qualities of a small school, Greensborough Pri</w:t>
            </w:r>
            <w:r>
              <w:rPr>
                <w:b w:val="0"/>
              </w:rPr>
              <w:t xml:space="preserve">mary provides a broad range of curriculum opportunities with the employment of highly qualified specialist teaching staff to engage students in </w:t>
            </w:r>
            <w:r>
              <w:rPr>
                <w:b w:val="0"/>
              </w:rPr>
              <w:lastRenderedPageBreak/>
              <w:t>rich and diverse curriculum programs.</w:t>
            </w:r>
            <w:r>
              <w:rPr>
                <w:b w:val="0"/>
              </w:rPr>
              <w:br/>
            </w:r>
          </w:p>
        </w:tc>
      </w:tr>
      <w:tr w:rsidR="000E2EFB" w:rsidTr="00A02803">
        <w:trPr>
          <w:trHeight w:val="15"/>
        </w:trPr>
        <w:tc>
          <w:tcPr>
            <w:tcW w:w="10226" w:type="dxa"/>
            <w:shd w:val="clear" w:color="auto" w:fill="D9D9D9" w:themeFill="background1" w:themeFillShade="D9"/>
          </w:tcPr>
          <w:p w:rsidR="00777DB2" w:rsidRPr="00D3162B" w:rsidRDefault="00487734" w:rsidP="00994A0F">
            <w:pPr>
              <w:pStyle w:val="Heading3"/>
              <w:spacing w:before="0" w:after="0"/>
              <w:rPr>
                <w:sz w:val="22"/>
                <w:szCs w:val="22"/>
              </w:rPr>
            </w:pPr>
            <w:r w:rsidRPr="00F40AEE">
              <w:rPr>
                <w:sz w:val="22"/>
                <w:szCs w:val="22"/>
              </w:rPr>
              <w:lastRenderedPageBreak/>
              <w:t>Wellbeing</w:t>
            </w:r>
          </w:p>
        </w:tc>
      </w:tr>
      <w:tr w:rsidR="000E2EFB" w:rsidTr="00A02803">
        <w:trPr>
          <w:trHeight w:val="15"/>
        </w:trPr>
        <w:tc>
          <w:tcPr>
            <w:tcW w:w="10226" w:type="dxa"/>
            <w:shd w:val="clear" w:color="auto" w:fill="FFFFFF" w:themeFill="background1"/>
          </w:tcPr>
          <w:p w:rsidR="00777DB2" w:rsidRPr="007C43EB" w:rsidRDefault="00487734" w:rsidP="00994A0F">
            <w:pPr>
              <w:pStyle w:val="Heading3"/>
              <w:spacing w:before="0" w:after="0"/>
              <w:rPr>
                <w:b w:val="0"/>
                <w:szCs w:val="20"/>
              </w:rPr>
            </w:pPr>
            <w:r>
              <w:rPr>
                <w:b w:val="0"/>
              </w:rPr>
              <w:t xml:space="preserve">Greensborough Primary School’s Students Attitudes to School, </w:t>
            </w:r>
            <w:r>
              <w:rPr>
                <w:b w:val="0"/>
              </w:rPr>
              <w:t>‘Connections to School’ was slightly above the median of Victorian Government primary schools with the School Comparison data showing that the school is achieving a result that is ‘Similar’ to other schools with similar background characteristics. The 2018</w:t>
            </w:r>
            <w:r>
              <w:rPr>
                <w:b w:val="0"/>
              </w:rPr>
              <w:t xml:space="preserve"> Student Attitudes to School Survey data for the ‘Management of Bullying’ was significantly above the state mean and received a result in the ‘Higher’ range. This is supported by school surveys and data which show that students are highly engaged and posit</w:t>
            </w:r>
            <w:r>
              <w:rPr>
                <w:b w:val="0"/>
              </w:rPr>
              <w:t>ive about their experiences at school.</w:t>
            </w:r>
            <w:r>
              <w:rPr>
                <w:b w:val="0"/>
              </w:rPr>
              <w:br/>
              <w:t>Greensborough Primary has an extensive Prep Transition focus which includes programs in the areas of ‘Starting to Read’, ‘Stories at School’, ‘Art for Tiny Tots' and ‘Science at School’. All of these programs are desi</w:t>
            </w:r>
            <w:r>
              <w:rPr>
                <w:b w:val="0"/>
              </w:rPr>
              <w:t>gned to develop confidence and engagement in the school environment and to provide information and support for families. All of these programs lead to the formal Prep Transition program which was run on the four Fridays in November.</w:t>
            </w:r>
            <w:r>
              <w:rPr>
                <w:b w:val="0"/>
              </w:rPr>
              <w:br/>
              <w:t>Support services were e</w:t>
            </w:r>
            <w:r>
              <w:rPr>
                <w:b w:val="0"/>
              </w:rPr>
              <w:t>ngaged to facilitate information sessions for new parents, providing strategies and suggestions for managing positive transitions to school for both children and parents. In addition to the above programs, the school hosted visits from the local kindergart</w:t>
            </w:r>
            <w:r>
              <w:rPr>
                <w:b w:val="0"/>
              </w:rPr>
              <w:t>en and a smooth transition was achieved with extensive communication and a comprehensive handover from the preschool facility.</w:t>
            </w:r>
            <w:r>
              <w:rPr>
                <w:b w:val="0"/>
              </w:rPr>
              <w:br/>
              <w:t>Student leadership skills are actively fostered in Grade Six as a precursor to the challenges and opportunities of secondary scho</w:t>
            </w:r>
            <w:r>
              <w:rPr>
                <w:b w:val="0"/>
              </w:rPr>
              <w:t>ol. The school hosts visits from local secondary colleges and implements school based programs during Term Four for both students and parents on transitions and preparations for the next step in the student’s educational journey. Programs to foster wellbei</w:t>
            </w:r>
            <w:r>
              <w:rPr>
                <w:b w:val="0"/>
              </w:rPr>
              <w:t>ng and resilience such as the ‘PATHS’ program which is an evidenced based positive education program, respectful Relationships and yoga sessions were incorporated into the school curriculum.</w:t>
            </w:r>
            <w:r>
              <w:rPr>
                <w:b w:val="0"/>
              </w:rPr>
              <w:br/>
              <w:t>Term Four sees Grade Six students actively engaged in preparing f</w:t>
            </w:r>
            <w:r>
              <w:rPr>
                <w:b w:val="0"/>
              </w:rPr>
              <w:t>or their primary school Graduation and compiling transition documents and work samples for their chosen secondary school.</w:t>
            </w:r>
            <w:r>
              <w:rPr>
                <w:b w:val="0"/>
              </w:rPr>
              <w:br/>
            </w:r>
          </w:p>
        </w:tc>
      </w:tr>
      <w:tr w:rsidR="000E2EFB" w:rsidTr="00A02803">
        <w:trPr>
          <w:trHeight w:val="15"/>
        </w:trPr>
        <w:tc>
          <w:tcPr>
            <w:tcW w:w="10226" w:type="dxa"/>
            <w:shd w:val="clear" w:color="auto" w:fill="D9D9D9" w:themeFill="background1" w:themeFillShade="D9"/>
          </w:tcPr>
          <w:p w:rsidR="00777DB2" w:rsidRPr="00D3162B" w:rsidRDefault="00487734" w:rsidP="00994A0F">
            <w:pPr>
              <w:pStyle w:val="Heading3"/>
              <w:spacing w:before="0" w:after="0"/>
              <w:rPr>
                <w:sz w:val="22"/>
                <w:szCs w:val="22"/>
              </w:rPr>
            </w:pPr>
            <w:r w:rsidRPr="00F40AEE">
              <w:rPr>
                <w:sz w:val="22"/>
                <w:szCs w:val="22"/>
              </w:rPr>
              <w:t>Financial performance and position</w:t>
            </w:r>
          </w:p>
        </w:tc>
      </w:tr>
      <w:tr w:rsidR="000E2EFB" w:rsidTr="00A02803">
        <w:trPr>
          <w:trHeight w:val="15"/>
        </w:trPr>
        <w:tc>
          <w:tcPr>
            <w:tcW w:w="10226" w:type="dxa"/>
            <w:shd w:val="clear" w:color="auto" w:fill="FFFFFF" w:themeFill="background1"/>
          </w:tcPr>
          <w:p w:rsidR="00777DB2" w:rsidRPr="005A75E6" w:rsidRDefault="00487734" w:rsidP="00994A0F">
            <w:pPr>
              <w:pStyle w:val="Heading3"/>
              <w:spacing w:before="0" w:after="0"/>
              <w:rPr>
                <w:b w:val="0"/>
                <w:szCs w:val="20"/>
              </w:rPr>
            </w:pPr>
            <w:r>
              <w:rPr>
                <w:b w:val="0"/>
              </w:rPr>
              <w:t>The school ended 2018 with a surplus which is targeted towards the installation of a synthetic g</w:t>
            </w:r>
            <w:r>
              <w:rPr>
                <w:b w:val="0"/>
              </w:rPr>
              <w:t xml:space="preserve">rass surface on the ageing bitumen basketball court, the funding of lease agreements on ICT equipment and the delivery of targeted intervention programs. The school surplus also provides a sound buffer against any fluctuations in enrollments to ensure the </w:t>
            </w:r>
            <w:r>
              <w:rPr>
                <w:b w:val="0"/>
              </w:rPr>
              <w:t>school is able to staff and maintain all programs and continue to provide a quality learning program across the school. The maintenance of buildings and grounds continues to be a priority and sound management of funds has ensured the school has been able t</w:t>
            </w:r>
            <w:r>
              <w:rPr>
                <w:b w:val="0"/>
              </w:rPr>
              <w:t>o maintain a high quality learning environment for staff and students.</w:t>
            </w:r>
          </w:p>
        </w:tc>
      </w:tr>
      <w:tr w:rsidR="000E2EFB" w:rsidTr="00BF0096">
        <w:trPr>
          <w:trHeight w:val="15"/>
        </w:trPr>
        <w:tc>
          <w:tcPr>
            <w:tcW w:w="10226" w:type="dxa"/>
            <w:shd w:val="clear" w:color="auto" w:fill="D9D9D9" w:themeFill="background1" w:themeFillShade="D9"/>
          </w:tcPr>
          <w:p w:rsidR="00BF0096" w:rsidRPr="005A75E6" w:rsidRDefault="00487734" w:rsidP="00C71E7A">
            <w:pPr>
              <w:pStyle w:val="Heading3"/>
              <w:spacing w:before="0" w:after="0"/>
              <w:rPr>
                <w:b w:val="0"/>
                <w:szCs w:val="20"/>
              </w:rPr>
            </w:pPr>
          </w:p>
          <w:p w:rsidR="000E2EFB" w:rsidRDefault="00487734">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www.greensborough.vic.edu.au</w:t>
              </w:r>
            </w:hyperlink>
          </w:p>
          <w:p w:rsidR="000E2EFB" w:rsidRDefault="000E2EFB"/>
        </w:tc>
      </w:tr>
    </w:tbl>
    <w:p w:rsidR="005E684F" w:rsidRPr="00FA10DB" w:rsidRDefault="00487734" w:rsidP="00F73E5D">
      <w:pPr>
        <w:ind w:right="-632"/>
        <w:rPr>
          <w:b/>
          <w:color w:val="AF272F"/>
          <w:sz w:val="36"/>
          <w:szCs w:val="44"/>
        </w:rPr>
        <w:sectPr w:rsidR="005E684F" w:rsidRPr="00FA10DB" w:rsidSect="005D3640">
          <w:headerReference w:type="even" r:id="rId24"/>
          <w:headerReference w:type="default" r:id="rId25"/>
          <w:footerReference w:type="default" r:id="rId26"/>
          <w:headerReference w:type="first" r:id="rId27"/>
          <w:pgSz w:w="11906" w:h="16838" w:code="9"/>
          <w:pgMar w:top="2036" w:right="1240" w:bottom="1304" w:left="1304" w:header="624" w:footer="532" w:gutter="0"/>
          <w:cols w:space="397"/>
          <w:docGrid w:linePitch="360"/>
        </w:sectPr>
      </w:pPr>
    </w:p>
    <w:p w:rsidR="002A03C0" w:rsidRDefault="00487734">
      <w:pPr>
        <w:pStyle w:val="ESHeading1"/>
        <w:jc w:val="center"/>
        <w:rPr>
          <w:color w:val="auto"/>
        </w:rPr>
      </w:pPr>
      <w:r>
        <w:rPr>
          <w:color w:val="auto"/>
        </w:rPr>
        <w:lastRenderedPageBreak/>
        <w:t>Performance Summary</w:t>
      </w:r>
    </w:p>
    <w:p w:rsidR="002A03C0" w:rsidRDefault="00487734">
      <w:pPr>
        <w:pStyle w:val="ESBodyText"/>
      </w:pPr>
      <w:r>
        <w:t>The Government School Performance Summary provides an overview of how this school is contributing to the objectives of the Education State</w:t>
      </w:r>
      <w:r>
        <w:t xml:space="preserve"> and how it compares to other Victorian Government schools.</w:t>
      </w:r>
    </w:p>
    <w:p w:rsidR="002A03C0" w:rsidRDefault="00487734">
      <w:pPr>
        <w:pStyle w:val="ESBodyText"/>
      </w:pPr>
      <w:r>
        <w:t>All schools work in partnership with their school community to improve outcomes for children and young people.  Sharing this information with parents and the wider school community helps to suppor</w:t>
      </w:r>
      <w:r>
        <w:t>t community engagement in student learning, a key priority of the Framework for Improving Student Outcomes.</w:t>
      </w:r>
    </w:p>
    <w:p w:rsidR="002A03C0" w:rsidRDefault="00487734">
      <w:pPr>
        <w:pStyle w:val="ESBodyText"/>
      </w:pPr>
      <w:r>
        <w:t>Refer to the ‘How to read the Annual Report’ section for help on how to interpret this report.</w:t>
      </w:r>
    </w:p>
    <w:p w:rsidR="002A03C0" w:rsidRDefault="00487734">
      <w:pPr>
        <w:pStyle w:val="ESHeading2"/>
        <w:rPr>
          <w:color w:val="00008B"/>
          <w:u w:val="single"/>
        </w:rPr>
      </w:pPr>
      <w:r>
        <w:rPr>
          <w:color w:val="00008B"/>
          <w:u w:val="single"/>
        </w:rPr>
        <w:t>School profile</w:t>
      </w:r>
    </w:p>
    <w:p w:rsidR="002A03C0" w:rsidRDefault="00487734">
      <w:pPr>
        <w:pStyle w:val="ESBodyText"/>
        <w:ind w:left="709" w:hanging="709"/>
        <w:rPr>
          <w:b/>
          <w:i/>
        </w:rPr>
      </w:pPr>
      <w:r>
        <w:rPr>
          <w:b/>
          <w:i/>
        </w:rPr>
        <w:t>Key:</w:t>
      </w:r>
      <w:r>
        <w:rPr>
          <w:b/>
          <w:i/>
        </w:rPr>
        <w:tab/>
        <w:t xml:space="preserve">“Middle 60 percent low” to </w:t>
      </w:r>
      <w:r>
        <w:rPr>
          <w:b/>
          <w:i/>
        </w:rPr>
        <w:t>“middle 60 percent high” is the range of results for the middle 60 percent of Victorian Government primary school type.</w:t>
      </w:r>
    </w:p>
    <w:p w:rsidR="002A03C0" w:rsidRDefault="00487734">
      <w:pPr>
        <w:pStyle w:val="ESImageorGraphTitle"/>
        <w:rPr>
          <w:color w:val="00008B"/>
        </w:rPr>
      </w:pPr>
      <w:r>
        <w:rPr>
          <w:color w:val="00008B"/>
        </w:rPr>
        <w:t>Enrolment Profile</w:t>
      </w:r>
    </w:p>
    <w:p w:rsidR="002A03C0" w:rsidRDefault="00487734">
      <w:pPr>
        <w:pStyle w:val="ESBodyText"/>
      </w:pPr>
      <w:r>
        <w:t>A total of</w:t>
      </w:r>
      <w:r>
        <w:t xml:space="preserve"> </w:t>
      </w:r>
      <w:r>
        <w:t xml:space="preserve"> 168 students were enrolled at this school in 2018,</w:t>
      </w:r>
      <w:r>
        <w:t xml:space="preserve"> </w:t>
      </w:r>
      <w:r>
        <w:t xml:space="preserve">  74 female and</w:t>
      </w:r>
      <w:r>
        <w:t xml:space="preserve"> </w:t>
      </w:r>
      <w:r>
        <w:t xml:space="preserve">  94 male.</w:t>
      </w:r>
    </w:p>
    <w:p w:rsidR="002A03C0" w:rsidRDefault="00487734">
      <w:pPr>
        <w:pStyle w:val="ESBodyText"/>
      </w:pPr>
      <w:r>
        <w:t>8 percent of students had En</w:t>
      </w:r>
      <w:r>
        <w:t>glish as an additional language and 5 percent were Aboriginal or Torres Strait Islander.</w:t>
      </w:r>
    </w:p>
    <w:p w:rsidR="002A03C0" w:rsidRDefault="00487734">
      <w:pPr>
        <w:pStyle w:val="ESBodyText"/>
        <w:rPr>
          <w:color w:val="00008B"/>
        </w:rPr>
      </w:pPr>
    </w:p>
    <w:p w:rsidR="002A03C0" w:rsidRDefault="00487734">
      <w:pPr>
        <w:pStyle w:val="ESBodyText"/>
        <w:rPr>
          <w:rFonts w:eastAsiaTheme="majorEastAsia" w:cstheme="majorBidi"/>
          <w:b/>
          <w:bCs/>
          <w:color w:val="00008B"/>
          <w:szCs w:val="20"/>
        </w:rPr>
      </w:pPr>
      <w:r>
        <w:rPr>
          <w:rFonts w:eastAsiaTheme="majorEastAsia" w:cstheme="majorBidi"/>
          <w:b/>
          <w:bCs/>
          <w:color w:val="00008B"/>
          <w:szCs w:val="20"/>
        </w:rPr>
        <w:t>Overall Socio-Economic Profile</w:t>
      </w:r>
    </w:p>
    <w:p w:rsidR="002A03C0" w:rsidRDefault="00487734">
      <w:pPr>
        <w:pStyle w:val="ESBodyText"/>
      </w:pPr>
      <w:r>
        <w:t>The overall school’s socio-economic profile is based on the school's Student Family Occupation and Education index (SFOE) which takes i</w:t>
      </w:r>
      <w:r>
        <w:t>nto account parents' occupations and education.</w:t>
      </w:r>
    </w:p>
    <w:p w:rsidR="002A03C0" w:rsidRDefault="00487734">
      <w:pPr>
        <w:pStyle w:val="ESBodyText"/>
      </w:pPr>
      <w:r>
        <w:t>Possible socio-economic band values are: Low, Low-M</w:t>
      </w:r>
      <w:r>
        <w:t>edium</w:t>
      </w:r>
      <w:r>
        <w:t>, M</w:t>
      </w:r>
      <w:r>
        <w:t>edium</w:t>
      </w:r>
      <w:r>
        <w:t xml:space="preserve"> and High.</w:t>
      </w:r>
    </w:p>
    <w:p w:rsidR="002A03C0" w:rsidRDefault="00487734">
      <w:pPr>
        <w:pStyle w:val="ESBodyText"/>
      </w:pPr>
      <w:r>
        <w:t>This school’s socio-economic band value is: Medium</w:t>
      </w:r>
    </w:p>
    <w:p w:rsidR="002A03C0" w:rsidRDefault="00487734">
      <w:pPr>
        <w:pStyle w:val="ESBodyText"/>
      </w:pPr>
    </w:p>
    <w:p w:rsidR="002A03C0" w:rsidRDefault="00487734">
      <w:pPr>
        <w:pStyle w:val="ESBodyText"/>
        <w:rPr>
          <w:rFonts w:eastAsiaTheme="majorEastAsia" w:cstheme="majorBidi"/>
          <w:b/>
          <w:bCs/>
          <w:color w:val="00008B"/>
          <w:szCs w:val="20"/>
        </w:rPr>
      </w:pPr>
      <w:r>
        <w:rPr>
          <w:rFonts w:eastAsiaTheme="majorEastAsia" w:cstheme="majorBidi"/>
          <w:b/>
          <w:bCs/>
          <w:color w:val="00008B"/>
          <w:szCs w:val="20"/>
        </w:rPr>
        <w:t>Parent Satisfaction Summary</w:t>
      </w:r>
    </w:p>
    <w:p w:rsidR="002A03C0" w:rsidRDefault="00487734">
      <w:pPr>
        <w:rPr>
          <w:rFonts w:eastAsia="MS Mincho"/>
        </w:rPr>
      </w:pPr>
      <w:r>
        <w:rPr>
          <w:rFonts w:eastAsia="MS Mincho"/>
        </w:rPr>
        <w:t>The percent endorsement by parents on their school sa</w:t>
      </w:r>
      <w:r>
        <w:rPr>
          <w:rFonts w:eastAsia="MS Mincho"/>
        </w:rPr>
        <w:t>tisfaction level as reported in the annual Parent Opinion Survey.</w:t>
      </w:r>
    </w:p>
    <w:p w:rsidR="002A03C0" w:rsidRDefault="00487734">
      <w:pPr>
        <w:spacing w:after="240"/>
      </w:pPr>
      <w:r>
        <w:rPr>
          <w:rFonts w:eastAsia="MS Mincho"/>
        </w:rPr>
        <w:t>Percent endorsement indicates the percent of positive responses (agree or strongly agree) from parents who responded to the survey.</w:t>
      </w:r>
    </w:p>
    <w:tbl>
      <w:tblPr>
        <w:tblStyle w:val="GridTable2-Accent61"/>
        <w:tblW w:w="4853" w:type="pct"/>
        <w:jc w:val="center"/>
        <w:tblLook w:val="04A0" w:firstRow="1" w:lastRow="0" w:firstColumn="1" w:lastColumn="0" w:noHBand="0" w:noVBand="1"/>
        <w:tblCaption w:val="Parent Opinion survey results"/>
      </w:tblPr>
      <w:tblGrid>
        <w:gridCol w:w="4107"/>
        <w:gridCol w:w="1586"/>
        <w:gridCol w:w="1586"/>
        <w:gridCol w:w="1586"/>
        <w:gridCol w:w="1584"/>
      </w:tblGrid>
      <w:tr w:rsidR="000E2EFB" w:rsidTr="000E2EFB">
        <w:trPr>
          <w:cnfStyle w:val="100000000000" w:firstRow="1" w:lastRow="0" w:firstColumn="0" w:lastColumn="0" w:oddVBand="0" w:evenVBand="0" w:oddHBand="0" w:evenHBand="0" w:firstRowFirstColumn="0" w:firstRowLastColumn="0" w:lastRowFirstColumn="0" w:lastRowLastColumn="0"/>
          <w:trHeight w:val="445"/>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bottom w:val="single" w:sz="12" w:space="0" w:color="FFFFFF"/>
            </w:tcBorders>
            <w:shd w:val="clear" w:color="auto" w:fill="106CB5"/>
            <w:vAlign w:val="center"/>
            <w:hideMark/>
          </w:tcPr>
          <w:p w:rsidR="002A03C0" w:rsidRDefault="00487734">
            <w:pPr>
              <w:spacing w:before="40" w:after="40" w:line="240" w:lineRule="auto"/>
              <w:rPr>
                <w:rFonts w:cs="Times New Roman"/>
                <w:color w:val="FFFFFF"/>
                <w:szCs w:val="22"/>
              </w:rPr>
            </w:pPr>
            <w:bookmarkStart w:id="1" w:name="Table_1"/>
            <w:r>
              <w:rPr>
                <w:rFonts w:cs="Times New Roman"/>
                <w:color w:val="FFFFFF"/>
                <w:szCs w:val="22"/>
              </w:rPr>
              <w:t>Parent Satisfaction</w:t>
            </w:r>
          </w:p>
        </w:tc>
        <w:tc>
          <w:tcPr>
            <w:tcW w:w="759"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759"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759"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 xml:space="preserve">Middle 60 percent </w:t>
            </w:r>
            <w:r>
              <w:rPr>
                <w:rFonts w:cs="Times New Roman"/>
                <w:bCs w:val="0"/>
                <w:color w:val="FFFFFF"/>
                <w:szCs w:val="22"/>
              </w:rPr>
              <w:t>low</w:t>
            </w:r>
          </w:p>
        </w:tc>
        <w:tc>
          <w:tcPr>
            <w:tcW w:w="759"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0E2EFB" w:rsidTr="000E2E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rPr>
                <w:rFonts w:cs="Times New Roman"/>
                <w:szCs w:val="22"/>
              </w:rPr>
            </w:pPr>
          </w:p>
        </w:tc>
        <w:tc>
          <w:tcPr>
            <w:tcW w:w="759"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2" w:space="0" w:color="106CB5"/>
              <w:bottom w:val="single" w:sz="2" w:space="0" w:color="106CB5"/>
            </w:tcBorders>
            <w:shd w:val="clear" w:color="auto" w:fill="D9D9D9"/>
            <w:noWrap/>
            <w:vAlign w:val="center"/>
            <w:hideMark/>
          </w:tcPr>
          <w:p w:rsidR="002A03C0" w:rsidRDefault="00487734">
            <w:pPr>
              <w:spacing w:before="40" w:after="40" w:line="240" w:lineRule="auto"/>
              <w:rPr>
                <w:rFonts w:cs="Times New Roman"/>
                <w:szCs w:val="22"/>
              </w:rPr>
            </w:pPr>
            <w:r>
              <w:rPr>
                <w:rFonts w:cs="Times New Roman"/>
                <w:szCs w:val="22"/>
                <w:lang w:val="en-US"/>
              </w:rPr>
              <w:t>Percent endorsement (latest year)</w:t>
            </w:r>
          </w:p>
        </w:tc>
        <w:tc>
          <w:tcPr>
            <w:tcW w:w="759" w:type="pct"/>
            <w:tcBorders>
              <w:top w:val="single" w:sz="2" w:space="0" w:color="106CB5"/>
              <w:bottom w:val="single" w:sz="2" w:space="0" w:color="106CB5"/>
            </w:tcBorders>
            <w:shd w:val="clear" w:color="auto" w:fill="D9D9D9"/>
            <w:noWrap/>
            <w:vAlign w:val="center"/>
          </w:tcPr>
          <w:p w:rsidR="002A03C0" w:rsidRDefault="00487734" w:rsidP="000573C0">
            <w:pPr>
              <w:jc w:val="right"/>
              <w:cnfStyle w:val="000000100000" w:firstRow="0" w:lastRow="0" w:firstColumn="0" w:lastColumn="0" w:oddVBand="0" w:evenVBand="0" w:oddHBand="1" w:evenHBand="0" w:firstRowFirstColumn="0" w:firstRowLastColumn="0" w:lastRowFirstColumn="0" w:lastRowLastColumn="0"/>
            </w:pPr>
            <w:r>
              <w:t xml:space="preserve"> 80.8</w:t>
            </w:r>
          </w:p>
        </w:tc>
        <w:tc>
          <w:tcPr>
            <w:tcW w:w="759" w:type="pct"/>
            <w:tcBorders>
              <w:top w:val="single" w:sz="2" w:space="0" w:color="106CB5"/>
              <w:bottom w:val="single" w:sz="2" w:space="0" w:color="106CB5"/>
            </w:tcBorders>
            <w:shd w:val="clear" w:color="auto" w:fill="D9D9D9"/>
            <w:noWrap/>
            <w:vAlign w:val="center"/>
          </w:tcPr>
          <w:p w:rsidR="002A03C0" w:rsidRDefault="00487734" w:rsidP="000573C0">
            <w:pPr>
              <w:jc w:val="right"/>
              <w:cnfStyle w:val="000000100000" w:firstRow="0" w:lastRow="0" w:firstColumn="0" w:lastColumn="0" w:oddVBand="0" w:evenVBand="0" w:oddHBand="1" w:evenHBand="0" w:firstRowFirstColumn="0" w:firstRowLastColumn="0" w:lastRowFirstColumn="0" w:lastRowLastColumn="0"/>
            </w:pPr>
            <w:r>
              <w:t xml:space="preserve"> 85.1</w:t>
            </w:r>
          </w:p>
        </w:tc>
        <w:tc>
          <w:tcPr>
            <w:tcW w:w="759" w:type="pct"/>
            <w:tcBorders>
              <w:top w:val="single" w:sz="2" w:space="0" w:color="106CB5"/>
              <w:bottom w:val="single" w:sz="2" w:space="0" w:color="106CB5"/>
            </w:tcBorders>
            <w:shd w:val="clear" w:color="auto" w:fill="D9D9D9"/>
            <w:vAlign w:val="center"/>
          </w:tcPr>
          <w:p w:rsidR="002A03C0" w:rsidRDefault="00487734" w:rsidP="000573C0">
            <w:pPr>
              <w:jc w:val="right"/>
              <w:cnfStyle w:val="000000100000" w:firstRow="0" w:lastRow="0" w:firstColumn="0" w:lastColumn="0" w:oddVBand="0" w:evenVBand="0" w:oddHBand="1" w:evenHBand="0" w:firstRowFirstColumn="0" w:firstRowLastColumn="0" w:lastRowFirstColumn="0" w:lastRowLastColumn="0"/>
            </w:pPr>
            <w:r>
              <w:t xml:space="preserve"> 78.3</w:t>
            </w:r>
          </w:p>
        </w:tc>
        <w:tc>
          <w:tcPr>
            <w:tcW w:w="759" w:type="pct"/>
            <w:tcBorders>
              <w:top w:val="single" w:sz="2" w:space="0" w:color="106CB5"/>
              <w:bottom w:val="single" w:sz="2" w:space="0" w:color="106CB5"/>
            </w:tcBorders>
            <w:shd w:val="clear" w:color="auto" w:fill="D9D9D9"/>
            <w:noWrap/>
            <w:vAlign w:val="center"/>
          </w:tcPr>
          <w:p w:rsidR="002A03C0" w:rsidRDefault="00487734" w:rsidP="000573C0">
            <w:pPr>
              <w:jc w:val="right"/>
              <w:cnfStyle w:val="000000100000" w:firstRow="0" w:lastRow="0" w:firstColumn="0" w:lastColumn="0" w:oddVBand="0" w:evenVBand="0" w:oddHBand="1" w:evenHBand="0" w:firstRowFirstColumn="0" w:firstRowLastColumn="0" w:lastRowFirstColumn="0" w:lastRowLastColumn="0"/>
            </w:pPr>
            <w:r>
              <w:t xml:space="preserve"> 91.6</w:t>
            </w:r>
          </w:p>
        </w:tc>
      </w:tr>
      <w:bookmarkEnd w:id="1"/>
    </w:tbl>
    <w:p w:rsidR="002A03C0" w:rsidRDefault="00487734">
      <w:pPr>
        <w:pStyle w:val="ESBodyText"/>
      </w:pPr>
    </w:p>
    <w:p w:rsidR="002A03C0" w:rsidRDefault="00487734">
      <w:pPr>
        <w:pStyle w:val="ESBodyText"/>
      </w:pPr>
    </w:p>
    <w:p w:rsidR="002A03C0" w:rsidRDefault="00487734">
      <w:pPr>
        <w:pStyle w:val="ESBodyText"/>
        <w:rPr>
          <w:rFonts w:eastAsiaTheme="majorEastAsia" w:cstheme="majorBidi"/>
          <w:b/>
          <w:bCs/>
          <w:color w:val="00008B"/>
          <w:szCs w:val="20"/>
        </w:rPr>
      </w:pPr>
      <w:r>
        <w:rPr>
          <w:rFonts w:eastAsiaTheme="majorEastAsia" w:cstheme="majorBidi"/>
          <w:b/>
          <w:bCs/>
          <w:color w:val="00008B"/>
          <w:szCs w:val="20"/>
        </w:rPr>
        <w:t>School Staff Survey</w:t>
      </w:r>
    </w:p>
    <w:p w:rsidR="002A03C0" w:rsidRDefault="00487734">
      <w:pPr>
        <w:pStyle w:val="ESBodyText"/>
      </w:pPr>
      <w:r>
        <w:t>The percent endorsement by staff on School Climate, as reported in the annual School Staff Survey.</w:t>
      </w:r>
    </w:p>
    <w:p w:rsidR="002A03C0" w:rsidRDefault="00487734">
      <w:pPr>
        <w:pStyle w:val="ESBodyText"/>
      </w:pPr>
      <w:r>
        <w:t xml:space="preserve">Percent </w:t>
      </w:r>
      <w:r>
        <w:t>endorsement indicates the percent of positive responses (agree or strongly agree) from staff who responded to the survey.</w:t>
      </w:r>
    </w:p>
    <w:p w:rsidR="002A03C0" w:rsidRDefault="00487734">
      <w:pPr>
        <w:pStyle w:val="ESBodyText"/>
        <w:spacing w:after="240"/>
      </w:pPr>
      <w:r>
        <w:t>Data is suppressed for schools with three or less respondents to the survey for confidentiality reasons.</w:t>
      </w:r>
    </w:p>
    <w:tbl>
      <w:tblPr>
        <w:tblStyle w:val="GridTable2-Accent61"/>
        <w:tblW w:w="4853" w:type="pct"/>
        <w:jc w:val="center"/>
        <w:tblLook w:val="04A0" w:firstRow="1" w:lastRow="0" w:firstColumn="1" w:lastColumn="0" w:noHBand="0" w:noVBand="1"/>
        <w:tblCaption w:val="School staff survey results"/>
      </w:tblPr>
      <w:tblGrid>
        <w:gridCol w:w="3702"/>
        <w:gridCol w:w="1687"/>
        <w:gridCol w:w="1687"/>
        <w:gridCol w:w="1687"/>
        <w:gridCol w:w="1686"/>
      </w:tblGrid>
      <w:tr w:rsidR="000E2EFB" w:rsidTr="000E2EFB">
        <w:trPr>
          <w:cnfStyle w:val="100000000000" w:firstRow="1" w:lastRow="0" w:firstColumn="0" w:lastColumn="0" w:oddVBand="0" w:evenVBand="0" w:oddHBand="0" w:evenHBand="0" w:firstRowFirstColumn="0" w:firstRowLastColumn="0" w:lastRowFirstColumn="0" w:lastRowLastColumn="0"/>
          <w:trHeight w:val="419"/>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bottom w:val="single" w:sz="12" w:space="0" w:color="FFFFFF"/>
            </w:tcBorders>
            <w:shd w:val="clear" w:color="auto" w:fill="106CB5"/>
            <w:vAlign w:val="center"/>
            <w:hideMark/>
          </w:tcPr>
          <w:p w:rsidR="002A03C0" w:rsidRDefault="00487734">
            <w:pPr>
              <w:spacing w:before="40" w:after="40" w:line="240" w:lineRule="auto"/>
              <w:rPr>
                <w:rFonts w:cs="Times New Roman"/>
                <w:color w:val="FFFFFF"/>
                <w:szCs w:val="22"/>
              </w:rPr>
            </w:pPr>
            <w:r>
              <w:rPr>
                <w:rFonts w:cs="Times New Roman"/>
                <w:color w:val="FFFFFF"/>
                <w:szCs w:val="22"/>
              </w:rPr>
              <w:t>School Climate</w:t>
            </w:r>
          </w:p>
        </w:tc>
        <w:tc>
          <w:tcPr>
            <w:tcW w:w="807"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807"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w:t>
            </w:r>
            <w:r>
              <w:rPr>
                <w:rFonts w:cs="Times New Roman"/>
                <w:color w:val="FFFFFF"/>
                <w:szCs w:val="22"/>
              </w:rPr>
              <w:t>edian</w:t>
            </w:r>
          </w:p>
        </w:tc>
        <w:tc>
          <w:tcPr>
            <w:tcW w:w="807"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807"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0E2EFB" w:rsidTr="000E2E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rPr>
                <w:rFonts w:cs="Times New Roman"/>
                <w:szCs w:val="22"/>
              </w:rPr>
            </w:pPr>
          </w:p>
        </w:tc>
        <w:tc>
          <w:tcPr>
            <w:tcW w:w="807"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2" w:space="0" w:color="106CB5"/>
              <w:bottom w:val="single" w:sz="2" w:space="0" w:color="106CB5"/>
            </w:tcBorders>
            <w:shd w:val="clear" w:color="auto" w:fill="D9D9D9"/>
            <w:noWrap/>
            <w:vAlign w:val="center"/>
            <w:hideMark/>
          </w:tcPr>
          <w:p w:rsidR="002A03C0" w:rsidRDefault="00487734">
            <w:pPr>
              <w:spacing w:before="40" w:after="40" w:line="240" w:lineRule="auto"/>
              <w:rPr>
                <w:rFonts w:cs="Times New Roman"/>
                <w:szCs w:val="22"/>
              </w:rPr>
            </w:pPr>
            <w:r>
              <w:rPr>
                <w:rFonts w:cs="Times New Roman"/>
                <w:szCs w:val="22"/>
              </w:rPr>
              <w:t>Percent endorsement (latest year)</w:t>
            </w:r>
          </w:p>
        </w:tc>
        <w:tc>
          <w:tcPr>
            <w:tcW w:w="807" w:type="pct"/>
            <w:tcBorders>
              <w:top w:val="single" w:sz="2" w:space="0" w:color="106CB5"/>
              <w:bottom w:val="single" w:sz="2" w:space="0" w:color="106CB5"/>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88.9</w:t>
            </w:r>
          </w:p>
        </w:tc>
        <w:tc>
          <w:tcPr>
            <w:tcW w:w="807" w:type="pct"/>
            <w:tcBorders>
              <w:top w:val="single" w:sz="2" w:space="0" w:color="106CB5"/>
              <w:bottom w:val="single" w:sz="2" w:space="0" w:color="106CB5"/>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77.7</w:t>
            </w:r>
          </w:p>
        </w:tc>
        <w:tc>
          <w:tcPr>
            <w:tcW w:w="807" w:type="pct"/>
            <w:tcBorders>
              <w:top w:val="single" w:sz="2" w:space="0" w:color="106CB5"/>
              <w:bottom w:val="single" w:sz="2" w:space="0" w:color="106CB5"/>
            </w:tcBorders>
            <w:shd w:val="clear" w:color="auto" w:fill="D9D9D9"/>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66.6</w:t>
            </w:r>
          </w:p>
        </w:tc>
        <w:tc>
          <w:tcPr>
            <w:tcW w:w="807" w:type="pct"/>
            <w:tcBorders>
              <w:top w:val="single" w:sz="2" w:space="0" w:color="106CB5"/>
              <w:bottom w:val="single" w:sz="2" w:space="0" w:color="106CB5"/>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86.7</w:t>
            </w:r>
          </w:p>
        </w:tc>
      </w:tr>
    </w:tbl>
    <w:p w:rsidR="002A03C0" w:rsidRDefault="00487734">
      <w:pPr>
        <w:spacing w:after="0" w:line="240" w:lineRule="auto"/>
        <w:rPr>
          <w:rFonts w:eastAsiaTheme="majorEastAsia" w:cstheme="majorBidi"/>
          <w:b/>
          <w:bCs/>
          <w:caps/>
          <w:color w:val="AF272F"/>
          <w:sz w:val="20"/>
          <w:szCs w:val="20"/>
        </w:rPr>
      </w:pPr>
      <w:r>
        <w:br w:type="page"/>
      </w:r>
    </w:p>
    <w:p w:rsidR="002A03C0" w:rsidRDefault="00487734">
      <w:pPr>
        <w:pStyle w:val="ESBodyText"/>
        <w:ind w:left="567" w:hanging="567"/>
        <w:rPr>
          <w:b/>
          <w:i/>
        </w:rPr>
      </w:pPr>
      <w:r>
        <w:rPr>
          <w:b/>
          <w:i/>
        </w:rPr>
        <w:lastRenderedPageBreak/>
        <w:t>Key:</w:t>
      </w:r>
      <w:r>
        <w:rPr>
          <w:b/>
          <w:i/>
        </w:rPr>
        <w:tab/>
        <w:t>“Middle 60 percent low” to “middle 60 percent high” is the range of results for the middle 60 percent of</w:t>
      </w:r>
      <w:r>
        <w:rPr>
          <w:b/>
          <w:i/>
        </w:rPr>
        <w:t xml:space="preserve"> Victorian Government primary year levels.</w:t>
      </w:r>
    </w:p>
    <w:p w:rsidR="002A03C0" w:rsidRDefault="00487734">
      <w:pPr>
        <w:pStyle w:val="ESBodyText"/>
        <w:ind w:left="567"/>
        <w:rPr>
          <w:b/>
          <w:i/>
        </w:rPr>
      </w:pPr>
      <w:r>
        <w:rPr>
          <w:b/>
          <w:i/>
        </w:rPr>
        <w:t>“School Comparison” is a way of comparing school performance that takes into account the different student intake characteristics of each school. Possible School Comparison values are ‘Lower’ (lower than expected)</w:t>
      </w:r>
      <w:r>
        <w:rPr>
          <w:b/>
          <w:i/>
        </w:rPr>
        <w:t>, ‘Similar’ (as expected) or ‘Higher’ (higher than expected).</w:t>
      </w:r>
    </w:p>
    <w:p w:rsidR="002A03C0" w:rsidRDefault="00487734">
      <w:pPr>
        <w:pStyle w:val="ESHeading2"/>
        <w:rPr>
          <w:color w:val="00008B"/>
          <w:u w:val="single"/>
        </w:rPr>
      </w:pPr>
      <w:r>
        <w:rPr>
          <w:color w:val="00008B"/>
          <w:u w:val="single"/>
        </w:rPr>
        <w:t>Achievement</w:t>
      </w:r>
    </w:p>
    <w:p w:rsidR="002A03C0" w:rsidRDefault="00487734">
      <w:pPr>
        <w:pStyle w:val="ESBodyText"/>
        <w:rPr>
          <w:rFonts w:eastAsiaTheme="majorEastAsia" w:cstheme="majorBidi"/>
          <w:b/>
          <w:bCs/>
          <w:color w:val="00008B"/>
          <w:szCs w:val="20"/>
        </w:rPr>
      </w:pPr>
      <w:r>
        <w:rPr>
          <w:rFonts w:eastAsiaTheme="majorEastAsia" w:cstheme="majorBidi"/>
          <w:b/>
          <w:bCs/>
          <w:color w:val="00008B"/>
          <w:szCs w:val="20"/>
        </w:rPr>
        <w:t>Teacher Judgement of student achievement</w:t>
      </w:r>
    </w:p>
    <w:p w:rsidR="002A03C0" w:rsidRDefault="00487734">
      <w:pPr>
        <w:pStyle w:val="ESBodyText"/>
      </w:pPr>
      <w:r>
        <w:t>Percentage of students in year levels Prep to 6 working at or above age expected standards in:</w:t>
      </w:r>
    </w:p>
    <w:p w:rsidR="002A03C0" w:rsidRDefault="00487734">
      <w:pPr>
        <w:pStyle w:val="ESBodyText"/>
        <w:numPr>
          <w:ilvl w:val="0"/>
          <w:numId w:val="27"/>
        </w:numPr>
      </w:pPr>
      <w:r>
        <w:t>English</w:t>
      </w:r>
    </w:p>
    <w:p w:rsidR="002A03C0" w:rsidRDefault="00487734">
      <w:pPr>
        <w:pStyle w:val="ESBodyText"/>
        <w:numPr>
          <w:ilvl w:val="0"/>
          <w:numId w:val="27"/>
        </w:numPr>
      </w:pPr>
      <w:r>
        <w:t>Mathematics</w:t>
      </w:r>
    </w:p>
    <w:p w:rsidR="002A03C0" w:rsidRDefault="00487734">
      <w:pPr>
        <w:pStyle w:val="ESBodyText"/>
      </w:pPr>
    </w:p>
    <w:tbl>
      <w:tblPr>
        <w:tblStyle w:val="GridTable2-Accent61"/>
        <w:tblW w:w="4850" w:type="pct"/>
        <w:jc w:val="center"/>
        <w:tblLook w:val="04A0" w:firstRow="1" w:lastRow="0" w:firstColumn="1" w:lastColumn="0" w:noHBand="0" w:noVBand="1"/>
        <w:tblCaption w:val="Teacher judgement of student achievement"/>
      </w:tblPr>
      <w:tblGrid>
        <w:gridCol w:w="4154"/>
        <w:gridCol w:w="1255"/>
        <w:gridCol w:w="1255"/>
        <w:gridCol w:w="1256"/>
        <w:gridCol w:w="1256"/>
        <w:gridCol w:w="1267"/>
      </w:tblGrid>
      <w:tr w:rsidR="000E2EFB" w:rsidTr="000E2EFB">
        <w:trPr>
          <w:cnfStyle w:val="100000000000" w:firstRow="1" w:lastRow="0" w:firstColumn="0" w:lastColumn="0" w:oddVBand="0" w:evenVBand="0" w:oddHBand="0" w:evenHBand="0" w:firstRowFirstColumn="0" w:firstRowLastColumn="0" w:lastRowFirstColumn="0" w:lastRowLastColumn="0"/>
          <w:trHeight w:val="619"/>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bottom w:val="single" w:sz="12" w:space="0" w:color="FFFFFF"/>
            </w:tcBorders>
            <w:shd w:val="clear" w:color="auto" w:fill="106CB5"/>
            <w:vAlign w:val="center"/>
            <w:hideMark/>
          </w:tcPr>
          <w:p w:rsidR="002A03C0" w:rsidRDefault="00487734">
            <w:pPr>
              <w:spacing w:before="40" w:after="40" w:line="240" w:lineRule="auto"/>
              <w:rPr>
                <w:rFonts w:cs="Times New Roman"/>
                <w:color w:val="FFFFFF"/>
                <w:szCs w:val="22"/>
              </w:rPr>
            </w:pPr>
            <w:r>
              <w:rPr>
                <w:rFonts w:cs="Times New Roman"/>
                <w:color w:val="FFFFFF"/>
                <w:szCs w:val="22"/>
              </w:rPr>
              <w:t>Teacher Judgments at or a</w:t>
            </w:r>
            <w:r>
              <w:rPr>
                <w:rFonts w:cs="Times New Roman"/>
                <w:color w:val="FFFFFF"/>
                <w:szCs w:val="22"/>
              </w:rPr>
              <w:t>bove age expected standards (latest year)</w:t>
            </w:r>
          </w:p>
        </w:tc>
        <w:tc>
          <w:tcPr>
            <w:tcW w:w="602"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02"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02"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02"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02"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0E2EFB" w:rsidTr="000E2E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rPr>
                <w:rFonts w:cs="Times New Roman"/>
                <w:szCs w:val="22"/>
              </w:rPr>
            </w:pPr>
            <w:r>
              <w:rPr>
                <w:rFonts w:cs="Times New Roman"/>
                <w:szCs w:val="22"/>
              </w:rPr>
              <w:t>Domain</w:t>
            </w:r>
          </w:p>
        </w:tc>
        <w:tc>
          <w:tcPr>
            <w:tcW w:w="602"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D9D9D9"/>
            <w:noWrap/>
            <w:vAlign w:val="center"/>
          </w:tcPr>
          <w:p w:rsidR="002A03C0" w:rsidRDefault="00487734">
            <w:pPr>
              <w:spacing w:before="40" w:after="40" w:line="240" w:lineRule="auto"/>
              <w:rPr>
                <w:rFonts w:cs="Times New Roman"/>
                <w:szCs w:val="22"/>
              </w:rPr>
            </w:pPr>
            <w:r>
              <w:rPr>
                <w:rFonts w:cs="Times New Roman"/>
                <w:b w:val="0"/>
                <w:szCs w:val="22"/>
              </w:rPr>
              <w:t>English</w:t>
            </w:r>
          </w:p>
        </w:tc>
        <w:tc>
          <w:tcPr>
            <w:tcW w:w="602" w:type="pct"/>
            <w:tcBorders>
              <w:top w:val="single" w:sz="2" w:space="0" w:color="106CB5"/>
              <w:bottom w:val="single" w:sz="2" w:space="0" w:color="106CB5"/>
            </w:tcBorders>
            <w:shd w:val="clear" w:color="auto" w:fill="D9D9D9"/>
            <w:noWrap/>
            <w:vAlign w:val="bottom"/>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90.1</w:t>
            </w:r>
          </w:p>
        </w:tc>
        <w:tc>
          <w:tcPr>
            <w:tcW w:w="602" w:type="pct"/>
            <w:tcBorders>
              <w:top w:val="single" w:sz="2" w:space="0" w:color="106CB5"/>
              <w:bottom w:val="single" w:sz="2" w:space="0" w:color="106CB5"/>
            </w:tcBorders>
            <w:shd w:val="clear" w:color="auto" w:fill="D9D9D9"/>
            <w:noWrap/>
            <w:vAlign w:val="bottom"/>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90.1</w:t>
            </w:r>
          </w:p>
        </w:tc>
        <w:tc>
          <w:tcPr>
            <w:tcW w:w="602" w:type="pct"/>
            <w:tcBorders>
              <w:top w:val="single" w:sz="2" w:space="0" w:color="106CB5"/>
              <w:bottom w:val="single" w:sz="2" w:space="0" w:color="106CB5"/>
            </w:tcBorders>
            <w:shd w:val="clear" w:color="auto" w:fill="D9D9D9"/>
            <w:vAlign w:val="bottom"/>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82.6</w:t>
            </w:r>
          </w:p>
        </w:tc>
        <w:tc>
          <w:tcPr>
            <w:tcW w:w="602" w:type="pct"/>
            <w:tcBorders>
              <w:top w:val="single" w:sz="2" w:space="0" w:color="106CB5"/>
              <w:bottom w:val="single" w:sz="2" w:space="0" w:color="106CB5"/>
            </w:tcBorders>
            <w:shd w:val="clear" w:color="auto" w:fill="D9D9D9"/>
            <w:noWrap/>
            <w:vAlign w:val="bottom"/>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95.3</w:t>
            </w:r>
          </w:p>
        </w:tc>
        <w:tc>
          <w:tcPr>
            <w:tcW w:w="602" w:type="pct"/>
            <w:tcBorders>
              <w:top w:val="single" w:sz="2" w:space="0" w:color="106CB5"/>
              <w:bottom w:val="single" w:sz="2" w:space="0" w:color="106CB5"/>
            </w:tcBorders>
            <w:shd w:val="clear" w:color="auto" w:fill="D9D9D9"/>
            <w:vAlign w:val="bottom"/>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Similar</w:t>
            </w:r>
          </w:p>
        </w:tc>
      </w:tr>
      <w:tr w:rsidR="000E2EFB" w:rsidTr="000E2EFB">
        <w:trP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auto"/>
            <w:noWrap/>
            <w:vAlign w:val="center"/>
            <w:hideMark/>
          </w:tcPr>
          <w:p w:rsidR="002A03C0" w:rsidRDefault="00487734">
            <w:pPr>
              <w:spacing w:before="40" w:after="40" w:line="240" w:lineRule="auto"/>
              <w:rPr>
                <w:rFonts w:cs="Times New Roman"/>
                <w:szCs w:val="22"/>
              </w:rPr>
            </w:pPr>
            <w:r>
              <w:rPr>
                <w:rFonts w:cs="Times New Roman"/>
                <w:b w:val="0"/>
                <w:szCs w:val="22"/>
              </w:rPr>
              <w:t>Mathematics</w:t>
            </w:r>
          </w:p>
        </w:tc>
        <w:tc>
          <w:tcPr>
            <w:tcW w:w="602" w:type="pct"/>
            <w:tcBorders>
              <w:top w:val="single" w:sz="2" w:space="0" w:color="106CB5"/>
              <w:bottom w:val="single" w:sz="2" w:space="0" w:color="106CB5"/>
            </w:tcBorders>
            <w:shd w:val="clear" w:color="auto" w:fill="auto"/>
            <w:noWrap/>
            <w:vAlign w:val="bottom"/>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92.4</w:t>
            </w:r>
          </w:p>
        </w:tc>
        <w:tc>
          <w:tcPr>
            <w:tcW w:w="602" w:type="pct"/>
            <w:tcBorders>
              <w:top w:val="single" w:sz="2" w:space="0" w:color="106CB5"/>
              <w:bottom w:val="single" w:sz="2" w:space="0" w:color="106CB5"/>
            </w:tcBorders>
            <w:shd w:val="clear" w:color="auto" w:fill="auto"/>
            <w:noWrap/>
            <w:vAlign w:val="bottom"/>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91.1</w:t>
            </w:r>
          </w:p>
        </w:tc>
        <w:tc>
          <w:tcPr>
            <w:tcW w:w="602" w:type="pct"/>
            <w:tcBorders>
              <w:top w:val="single" w:sz="2" w:space="0" w:color="106CB5"/>
              <w:bottom w:val="single" w:sz="2" w:space="0" w:color="106CB5"/>
            </w:tcBorders>
            <w:shd w:val="clear" w:color="auto" w:fill="auto"/>
            <w:vAlign w:val="bottom"/>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84.0</w:t>
            </w:r>
          </w:p>
        </w:tc>
        <w:tc>
          <w:tcPr>
            <w:tcW w:w="602" w:type="pct"/>
            <w:tcBorders>
              <w:top w:val="single" w:sz="2" w:space="0" w:color="106CB5"/>
              <w:bottom w:val="single" w:sz="2" w:space="0" w:color="106CB5"/>
            </w:tcBorders>
            <w:shd w:val="clear" w:color="auto" w:fill="auto"/>
            <w:noWrap/>
            <w:vAlign w:val="bottom"/>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96.4</w:t>
            </w:r>
          </w:p>
        </w:tc>
        <w:tc>
          <w:tcPr>
            <w:tcW w:w="602" w:type="pct"/>
            <w:tcBorders>
              <w:top w:val="single" w:sz="2" w:space="0" w:color="106CB5"/>
              <w:bottom w:val="single" w:sz="2" w:space="0" w:color="106CB5"/>
            </w:tcBorders>
            <w:vAlign w:val="bottom"/>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Similar</w:t>
            </w:r>
          </w:p>
        </w:tc>
      </w:tr>
    </w:tbl>
    <w:p w:rsidR="002A03C0" w:rsidRDefault="00487734">
      <w:pPr>
        <w:pStyle w:val="ESBodyText"/>
      </w:pPr>
    </w:p>
    <w:p w:rsidR="002A03C0" w:rsidRDefault="00487734">
      <w:pPr>
        <w:pStyle w:val="ESBodyText"/>
        <w:rPr>
          <w:rFonts w:eastAsiaTheme="majorEastAsia" w:cstheme="majorBidi"/>
          <w:b/>
          <w:bCs/>
          <w:color w:val="00008B"/>
          <w:szCs w:val="20"/>
        </w:rPr>
      </w:pPr>
      <w:r>
        <w:rPr>
          <w:rFonts w:eastAsiaTheme="majorEastAsia" w:cstheme="majorBidi"/>
          <w:b/>
          <w:bCs/>
          <w:color w:val="00008B"/>
          <w:szCs w:val="20"/>
        </w:rPr>
        <w:t xml:space="preserve">NAPLAN </w:t>
      </w:r>
      <w:r>
        <w:rPr>
          <w:rFonts w:eastAsiaTheme="majorEastAsia" w:cstheme="majorBidi"/>
          <w:b/>
          <w:bCs/>
          <w:color w:val="00008B"/>
          <w:szCs w:val="20"/>
        </w:rPr>
        <w:t>Year 3 and Year 5</w:t>
      </w:r>
    </w:p>
    <w:p w:rsidR="002A03C0" w:rsidRDefault="00487734">
      <w:pPr>
        <w:pStyle w:val="ESBodyText"/>
      </w:pPr>
      <w:r>
        <w:t>The percentage of students in the top three bands of testing in NAPLAN at year levels 3 and 5.</w:t>
      </w:r>
    </w:p>
    <w:p w:rsidR="002A03C0" w:rsidRDefault="00487734">
      <w:pPr>
        <w:pStyle w:val="ESBodyText"/>
      </w:pPr>
      <w:r>
        <w:t>Year 3 assessments are reported on a scale from Bands 1 to 6.</w:t>
      </w:r>
    </w:p>
    <w:p w:rsidR="002A03C0" w:rsidRDefault="00487734">
      <w:pPr>
        <w:pStyle w:val="ESBodyText"/>
      </w:pPr>
      <w:r>
        <w:rPr>
          <w:rFonts w:eastAsia="Arial"/>
          <w:color w:val="000000"/>
        </w:rPr>
        <w:t>Year 5 assessments are reported on a scale from Bands 3 to 8.</w:t>
      </w:r>
    </w:p>
    <w:tbl>
      <w:tblPr>
        <w:tblStyle w:val="GridTable2-Accent611"/>
        <w:tblW w:w="10628" w:type="dxa"/>
        <w:jc w:val="center"/>
        <w:tblLayout w:type="fixed"/>
        <w:tblLook w:val="04A0" w:firstRow="1" w:lastRow="0" w:firstColumn="1" w:lastColumn="0" w:noHBand="0" w:noVBand="1"/>
        <w:tblCaption w:val="NAPLAN results - Year 3, Year 5, Year 7 and Year 9"/>
      </w:tblPr>
      <w:tblGrid>
        <w:gridCol w:w="2058"/>
        <w:gridCol w:w="2551"/>
        <w:gridCol w:w="1169"/>
        <w:gridCol w:w="1170"/>
        <w:gridCol w:w="1169"/>
        <w:gridCol w:w="1170"/>
        <w:gridCol w:w="1341"/>
      </w:tblGrid>
      <w:tr w:rsidR="000E2EFB" w:rsidTr="000E2EFB">
        <w:trPr>
          <w:cnfStyle w:val="100000000000" w:firstRow="1" w:lastRow="0" w:firstColumn="0" w:lastColumn="0" w:oddVBand="0" w:evenVBand="0" w:oddHBand="0" w:evenHBand="0" w:firstRowFirstColumn="0" w:firstRowLastColumn="0" w:lastRowFirstColumn="0" w:lastRowLastColumn="0"/>
          <w:trHeight w:val="611"/>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bottom w:val="single" w:sz="12" w:space="0" w:color="FFFFFF"/>
            </w:tcBorders>
            <w:shd w:val="clear" w:color="auto" w:fill="106CB5"/>
            <w:vAlign w:val="center"/>
          </w:tcPr>
          <w:p w:rsidR="002A03C0" w:rsidRDefault="00487734">
            <w:pPr>
              <w:spacing w:before="40" w:after="40" w:line="240" w:lineRule="auto"/>
              <w:rPr>
                <w:rFonts w:cs="Times New Roman"/>
                <w:color w:val="FFFFFF"/>
                <w:szCs w:val="22"/>
              </w:rPr>
            </w:pPr>
            <w:r>
              <w:rPr>
                <w:rFonts w:cs="Times New Roman"/>
                <w:bCs w:val="0"/>
                <w:color w:val="FFFFFF"/>
                <w:szCs w:val="22"/>
              </w:rPr>
              <w:t>NAPLAN top 3 bands</w:t>
            </w:r>
          </w:p>
          <w:p w:rsidR="002A03C0" w:rsidRDefault="00487734">
            <w:pPr>
              <w:spacing w:before="40" w:after="40" w:line="240" w:lineRule="auto"/>
              <w:rPr>
                <w:rFonts w:cs="Times New Roman"/>
                <w:color w:val="FFFFFF"/>
                <w:szCs w:val="22"/>
              </w:rPr>
            </w:pPr>
            <w:r>
              <w:rPr>
                <w:rFonts w:cs="Times New Roman"/>
                <w:bCs w:val="0"/>
                <w:color w:val="FFFFFF"/>
                <w:szCs w:val="22"/>
              </w:rPr>
              <w:t>(latest year)</w:t>
            </w:r>
          </w:p>
        </w:tc>
        <w:tc>
          <w:tcPr>
            <w:tcW w:w="2551" w:type="dxa"/>
            <w:tcBorders>
              <w:bottom w:val="single" w:sz="12" w:space="0" w:color="FFFFFF"/>
            </w:tcBorders>
            <w:shd w:val="clear" w:color="auto" w:fill="106CB5"/>
            <w:noWrap/>
            <w:vAlign w:val="center"/>
            <w:hideMark/>
          </w:tcPr>
          <w:p w:rsidR="002A03C0" w:rsidRDefault="00487734">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bookmarkStart w:id="2" w:name="Table_5"/>
          </w:p>
        </w:tc>
        <w:tc>
          <w:tcPr>
            <w:tcW w:w="1169" w:type="dxa"/>
            <w:tcBorders>
              <w:bottom w:val="single" w:sz="12" w:space="0" w:color="FFFFFF"/>
            </w:tcBorders>
            <w:shd w:val="clear" w:color="auto" w:fill="106CB5"/>
            <w:noWrap/>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0E2EFB" w:rsidTr="000E2E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12" w:space="0" w:color="FFFFFF"/>
              <w:bottom w:val="single" w:sz="4" w:space="0" w:color="106CB5"/>
            </w:tcBorders>
            <w:shd w:val="clear" w:color="auto" w:fill="FFFFFF"/>
          </w:tcPr>
          <w:p w:rsidR="002A03C0" w:rsidRDefault="00487734">
            <w:pPr>
              <w:spacing w:before="40" w:after="40" w:line="240" w:lineRule="auto"/>
              <w:rPr>
                <w:rFonts w:cs="Times New Roman"/>
                <w:szCs w:val="22"/>
              </w:rPr>
            </w:pPr>
            <w:r>
              <w:rPr>
                <w:rFonts w:cs="Times New Roman"/>
                <w:szCs w:val="22"/>
              </w:rPr>
              <w:t>Year Level</w:t>
            </w:r>
          </w:p>
        </w:tc>
        <w:tc>
          <w:tcPr>
            <w:tcW w:w="2551" w:type="dxa"/>
            <w:tcBorders>
              <w:top w:val="single" w:sz="12" w:space="0" w:color="FFFFFF"/>
              <w:bottom w:val="single" w:sz="4" w:space="0" w:color="106CB5"/>
            </w:tcBorders>
            <w:shd w:val="clear" w:color="auto" w:fill="FFFFFF"/>
            <w:noWrap/>
            <w:vAlign w:val="center"/>
          </w:tcPr>
          <w:p w:rsidR="002A03C0" w:rsidRDefault="00487734">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106CB5"/>
              <w:bottom w:val="nil"/>
              <w:right w:val="single" w:sz="4" w:space="0" w:color="FFFFFF" w:themeColor="background1"/>
            </w:tcBorders>
            <w:shd w:val="clear" w:color="auto" w:fill="D9D9D9"/>
          </w:tcPr>
          <w:p w:rsidR="002A03C0" w:rsidRDefault="00487734">
            <w:pPr>
              <w:spacing w:before="40" w:after="40" w:line="240" w:lineRule="auto"/>
              <w:rPr>
                <w:rFonts w:cs="Times New Roman"/>
                <w:szCs w:val="22"/>
              </w:rPr>
            </w:pPr>
            <w:r>
              <w:rPr>
                <w:rFonts w:cs="Times New Roman"/>
                <w:b w:val="0"/>
                <w:szCs w:val="22"/>
              </w:rPr>
              <w:t>Year 3</w:t>
            </w:r>
          </w:p>
        </w:tc>
        <w:tc>
          <w:tcPr>
            <w:tcW w:w="2551"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487734">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73.1</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76.5</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62.0</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89.2</w:t>
            </w:r>
          </w:p>
        </w:tc>
        <w:tc>
          <w:tcPr>
            <w:tcW w:w="1341" w:type="dxa"/>
            <w:tcBorders>
              <w:top w:val="single" w:sz="4" w:space="0" w:color="106CB5"/>
              <w:left w:val="single" w:sz="4" w:space="0" w:color="FFFFFF" w:themeColor="background1"/>
              <w:bottom w:val="nil"/>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Similar</w:t>
            </w:r>
          </w:p>
        </w:tc>
      </w:tr>
      <w:tr w:rsidR="000E2EFB" w:rsidTr="000E2EFB">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06CB5"/>
              <w:right w:val="single" w:sz="2" w:space="0" w:color="FFFFFF"/>
            </w:tcBorders>
            <w:shd w:val="clear" w:color="auto" w:fill="auto"/>
          </w:tcPr>
          <w:p w:rsidR="002A03C0" w:rsidRDefault="00487734">
            <w:pPr>
              <w:spacing w:before="40" w:after="40" w:line="240" w:lineRule="auto"/>
              <w:rPr>
                <w:rFonts w:cs="Times New Roman"/>
                <w:szCs w:val="22"/>
              </w:rPr>
            </w:pPr>
            <w:r>
              <w:rPr>
                <w:rFonts w:cs="Times New Roman"/>
                <w:b w:val="0"/>
                <w:szCs w:val="22"/>
              </w:rPr>
              <w:t>Year 3</w:t>
            </w:r>
          </w:p>
        </w:tc>
        <w:tc>
          <w:tcPr>
            <w:tcW w:w="2551" w:type="dxa"/>
            <w:tcBorders>
              <w:top w:val="nil"/>
              <w:left w:val="single" w:sz="2" w:space="0" w:color="FFFFFF"/>
              <w:bottom w:val="single" w:sz="2" w:space="0" w:color="106CB5"/>
              <w:right w:val="single" w:sz="2" w:space="0" w:color="FFFFFF"/>
            </w:tcBorders>
            <w:shd w:val="clear" w:color="auto" w:fill="auto"/>
            <w:noWrap/>
            <w:vAlign w:val="center"/>
          </w:tcPr>
          <w:p w:rsidR="002A03C0" w:rsidRDefault="00487734">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 xml:space="preserve">  80.0</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72.5</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53.6</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87.5</w:t>
            </w:r>
          </w:p>
        </w:tc>
        <w:tc>
          <w:tcPr>
            <w:tcW w:w="1341" w:type="dxa"/>
            <w:tcBorders>
              <w:top w:val="nil"/>
              <w:left w:val="single" w:sz="2" w:space="0" w:color="FFFFFF"/>
              <w:bottom w:val="single" w:sz="2" w:space="0" w:color="106CB5"/>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Similar</w:t>
            </w: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2" w:space="0" w:color="106CB5"/>
              <w:bottom w:val="nil"/>
              <w:right w:val="single" w:sz="4" w:space="0" w:color="FFFFFF" w:themeColor="background1"/>
            </w:tcBorders>
            <w:shd w:val="clear" w:color="auto" w:fill="D9D9D9"/>
          </w:tcPr>
          <w:p w:rsidR="002A03C0" w:rsidRDefault="00487734">
            <w:pPr>
              <w:spacing w:before="40" w:after="40" w:line="240" w:lineRule="auto"/>
              <w:rPr>
                <w:rFonts w:cs="Times New Roman"/>
                <w:szCs w:val="22"/>
              </w:rPr>
            </w:pPr>
            <w:r>
              <w:rPr>
                <w:rFonts w:cs="Times New Roman"/>
                <w:b w:val="0"/>
                <w:szCs w:val="22"/>
              </w:rPr>
              <w:t>Year 5</w:t>
            </w:r>
          </w:p>
        </w:tc>
        <w:tc>
          <w:tcPr>
            <w:tcW w:w="2551"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487734">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88.2</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64.9</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48.8</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80.0</w:t>
            </w:r>
          </w:p>
        </w:tc>
        <w:tc>
          <w:tcPr>
            <w:tcW w:w="1341" w:type="dxa"/>
            <w:tcBorders>
              <w:top w:val="single" w:sz="2" w:space="0" w:color="106CB5"/>
              <w:left w:val="single" w:sz="4" w:space="0" w:color="FFFFFF" w:themeColor="background1"/>
              <w:bottom w:val="nil"/>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Similar</w:t>
            </w:r>
          </w:p>
        </w:tc>
      </w:tr>
      <w:tr w:rsidR="000E2EFB" w:rsidTr="000E2EFB">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26CB5"/>
              <w:right w:val="single" w:sz="4" w:space="0" w:color="FFFFFF" w:themeColor="background1"/>
            </w:tcBorders>
            <w:shd w:val="clear" w:color="auto" w:fill="auto"/>
          </w:tcPr>
          <w:p w:rsidR="002A03C0" w:rsidRDefault="00487734">
            <w:pPr>
              <w:spacing w:before="40" w:after="40" w:line="240" w:lineRule="auto"/>
              <w:rPr>
                <w:rFonts w:cs="Times New Roman"/>
                <w:szCs w:val="22"/>
              </w:rPr>
            </w:pPr>
            <w:r>
              <w:rPr>
                <w:rFonts w:cs="Times New Roman"/>
                <w:b w:val="0"/>
                <w:szCs w:val="22"/>
              </w:rPr>
              <w:t>Year 5</w:t>
            </w:r>
          </w:p>
        </w:tc>
        <w:tc>
          <w:tcPr>
            <w:tcW w:w="2551"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487734">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 xml:space="preserve">  82.4</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55.6</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37.0</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75.0</w:t>
            </w:r>
          </w:p>
        </w:tc>
        <w:tc>
          <w:tcPr>
            <w:tcW w:w="1341" w:type="dxa"/>
            <w:tcBorders>
              <w:top w:val="nil"/>
              <w:left w:val="single" w:sz="4" w:space="0" w:color="FFFFFF" w:themeColor="background1"/>
              <w:bottom w:val="single" w:sz="2" w:space="0" w:color="126CB5"/>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Higher</w:t>
            </w:r>
          </w:p>
        </w:tc>
      </w:tr>
      <w:bookmarkEnd w:id="2"/>
    </w:tbl>
    <w:p w:rsidR="002A03C0" w:rsidRDefault="00487734">
      <w:pPr>
        <w:pStyle w:val="ESBodyText"/>
      </w:pPr>
    </w:p>
    <w:tbl>
      <w:tblPr>
        <w:tblStyle w:val="GridTable2-Accent611"/>
        <w:tblW w:w="10628" w:type="dxa"/>
        <w:jc w:val="center"/>
        <w:tblLayout w:type="fixed"/>
        <w:tblLook w:val="04A0" w:firstRow="1" w:lastRow="0" w:firstColumn="1" w:lastColumn="0" w:noHBand="0" w:noVBand="1"/>
        <w:tblCaption w:val="NAPLAN 4 year Average Results - Year 3, Year 5, Year 7 and Year 9"/>
      </w:tblPr>
      <w:tblGrid>
        <w:gridCol w:w="2199"/>
        <w:gridCol w:w="2410"/>
        <w:gridCol w:w="1169"/>
        <w:gridCol w:w="1170"/>
        <w:gridCol w:w="1169"/>
        <w:gridCol w:w="1170"/>
        <w:gridCol w:w="1341"/>
      </w:tblGrid>
      <w:tr w:rsidR="000E2EFB" w:rsidTr="000E2EFB">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bottom w:val="single" w:sz="12" w:space="0" w:color="FFFFFF"/>
            </w:tcBorders>
            <w:shd w:val="clear" w:color="auto" w:fill="106CB5"/>
            <w:vAlign w:val="center"/>
          </w:tcPr>
          <w:p w:rsidR="002A03C0" w:rsidRDefault="00487734">
            <w:pPr>
              <w:spacing w:before="40" w:after="40" w:line="240" w:lineRule="auto"/>
              <w:rPr>
                <w:rFonts w:cs="Times New Roman"/>
                <w:color w:val="FFFFFF"/>
                <w:szCs w:val="22"/>
              </w:rPr>
            </w:pPr>
            <w:r>
              <w:rPr>
                <w:rFonts w:cs="Times New Roman"/>
                <w:bCs w:val="0"/>
                <w:color w:val="FFFFFF"/>
                <w:szCs w:val="22"/>
              </w:rPr>
              <w:t xml:space="preserve">NAPLAN top 3 bands </w:t>
            </w:r>
          </w:p>
          <w:p w:rsidR="002A03C0" w:rsidRDefault="00487734">
            <w:pPr>
              <w:spacing w:before="40" w:after="40" w:line="240" w:lineRule="auto"/>
              <w:rPr>
                <w:rFonts w:cs="Times New Roman"/>
                <w:color w:val="FFFFFF"/>
                <w:szCs w:val="22"/>
              </w:rPr>
            </w:pPr>
            <w:r>
              <w:rPr>
                <w:rFonts w:cs="Times New Roman"/>
                <w:bCs w:val="0"/>
                <w:color w:val="FFFFFF"/>
                <w:szCs w:val="22"/>
              </w:rPr>
              <w:t>(4 year average)</w:t>
            </w:r>
          </w:p>
        </w:tc>
        <w:tc>
          <w:tcPr>
            <w:tcW w:w="2410" w:type="dxa"/>
            <w:tcBorders>
              <w:bottom w:val="single" w:sz="12" w:space="0" w:color="FFFFFF"/>
            </w:tcBorders>
            <w:shd w:val="clear" w:color="auto" w:fill="106CB5"/>
            <w:noWrap/>
            <w:vAlign w:val="center"/>
            <w:hideMark/>
          </w:tcPr>
          <w:p w:rsidR="002A03C0" w:rsidRDefault="00487734">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p>
        </w:tc>
        <w:tc>
          <w:tcPr>
            <w:tcW w:w="1169" w:type="dxa"/>
            <w:tcBorders>
              <w:bottom w:val="single" w:sz="12" w:space="0" w:color="FFFFFF"/>
            </w:tcBorders>
            <w:shd w:val="clear" w:color="auto" w:fill="106CB5"/>
            <w:noWrap/>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0E2EFB" w:rsidTr="000E2E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12" w:space="0" w:color="FFFFFF"/>
              <w:bottom w:val="single" w:sz="4" w:space="0" w:color="106CB5"/>
            </w:tcBorders>
            <w:shd w:val="clear" w:color="auto" w:fill="FFFFFF"/>
          </w:tcPr>
          <w:p w:rsidR="002A03C0" w:rsidRDefault="00487734">
            <w:pPr>
              <w:spacing w:before="40" w:after="40" w:line="240" w:lineRule="auto"/>
              <w:rPr>
                <w:rFonts w:cs="Times New Roman"/>
                <w:szCs w:val="22"/>
              </w:rPr>
            </w:pPr>
            <w:r>
              <w:rPr>
                <w:rFonts w:cs="Times New Roman"/>
                <w:szCs w:val="22"/>
              </w:rPr>
              <w:t>Year Level</w:t>
            </w:r>
          </w:p>
        </w:tc>
        <w:tc>
          <w:tcPr>
            <w:tcW w:w="2410" w:type="dxa"/>
            <w:tcBorders>
              <w:top w:val="single" w:sz="12" w:space="0" w:color="FFFFFF"/>
              <w:bottom w:val="single" w:sz="4" w:space="0" w:color="106CB5"/>
            </w:tcBorders>
            <w:shd w:val="clear" w:color="auto" w:fill="FFFFFF"/>
            <w:noWrap/>
            <w:vAlign w:val="center"/>
          </w:tcPr>
          <w:p w:rsidR="002A03C0" w:rsidRDefault="00487734">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06CB5"/>
              <w:bottom w:val="single" w:sz="4" w:space="0" w:color="FFFFFF" w:themeColor="background1"/>
              <w:right w:val="single" w:sz="4" w:space="0" w:color="FFFFFF" w:themeColor="background1"/>
            </w:tcBorders>
            <w:shd w:val="clear" w:color="auto" w:fill="D9D9D9" w:themeFill="background1" w:themeFillShade="D9"/>
          </w:tcPr>
          <w:p w:rsidR="002A03C0" w:rsidRDefault="00487734">
            <w:pPr>
              <w:spacing w:before="40" w:after="40" w:line="240" w:lineRule="auto"/>
              <w:rPr>
                <w:rFonts w:cs="Times New Roman"/>
                <w:szCs w:val="22"/>
              </w:rPr>
            </w:pPr>
            <w:r>
              <w:rPr>
                <w:rFonts w:cs="Times New Roman"/>
                <w:b w:val="0"/>
                <w:szCs w:val="22"/>
              </w:rPr>
              <w:t>Year 3</w:t>
            </w:r>
          </w:p>
        </w:tc>
        <w:tc>
          <w:tcPr>
            <w:tcW w:w="241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487734">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Cs/>
                <w:szCs w:val="22"/>
              </w:rPr>
            </w:pPr>
            <w:r>
              <w:rPr>
                <w:rFonts w:cs="Times New Roman"/>
                <w:bCs/>
                <w:szCs w:val="22"/>
              </w:rPr>
              <w:t>Reading (4 year average)</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81.9</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71.4</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57.6</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83.6</w:t>
            </w:r>
          </w:p>
        </w:tc>
        <w:tc>
          <w:tcPr>
            <w:tcW w:w="1341" w:type="dxa"/>
            <w:tcBorders>
              <w:top w:val="single" w:sz="4" w:space="0" w:color="106CB5"/>
              <w:left w:val="single" w:sz="4" w:space="0" w:color="FFFFFF" w:themeColor="background1"/>
              <w:bottom w:val="single" w:sz="4" w:space="0" w:color="FFFFFF" w:themeColor="background1"/>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Higher</w:t>
            </w:r>
          </w:p>
        </w:tc>
      </w:tr>
      <w:tr w:rsidR="000E2EFB" w:rsidTr="000E2EFB">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4" w:space="0" w:color="126CB5"/>
              <w:right w:val="single" w:sz="4" w:space="0" w:color="FFFFFF" w:themeColor="background1"/>
            </w:tcBorders>
            <w:shd w:val="clear" w:color="auto" w:fill="auto"/>
          </w:tcPr>
          <w:p w:rsidR="002A03C0" w:rsidRDefault="00487734">
            <w:pPr>
              <w:spacing w:before="40" w:after="40" w:line="240" w:lineRule="auto"/>
              <w:rPr>
                <w:rFonts w:cs="Times New Roman"/>
                <w:szCs w:val="22"/>
              </w:rPr>
            </w:pPr>
            <w:r>
              <w:rPr>
                <w:rFonts w:cs="Times New Roman"/>
                <w:b w:val="0"/>
                <w:szCs w:val="22"/>
              </w:rPr>
              <w:t>Year 3</w:t>
            </w:r>
          </w:p>
        </w:tc>
        <w:tc>
          <w:tcPr>
            <w:tcW w:w="241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487734">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 xml:space="preserve">  80.2</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65.7</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51.2</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80.0</w:t>
            </w:r>
          </w:p>
        </w:tc>
        <w:tc>
          <w:tcPr>
            <w:tcW w:w="1341" w:type="dxa"/>
            <w:tcBorders>
              <w:top w:val="single" w:sz="4" w:space="0" w:color="FFFFFF" w:themeColor="background1"/>
              <w:left w:val="single" w:sz="4" w:space="0" w:color="FFFFFF" w:themeColor="background1"/>
              <w:bottom w:val="single" w:sz="4" w:space="0" w:color="126CB5"/>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Higher</w:t>
            </w: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26CB5"/>
              <w:bottom w:val="single" w:sz="4" w:space="0" w:color="FFFFFF" w:themeColor="background1"/>
              <w:right w:val="single" w:sz="4" w:space="0" w:color="FFFFFF" w:themeColor="background1"/>
            </w:tcBorders>
            <w:shd w:val="clear" w:color="auto" w:fill="D9D9D9" w:themeFill="background1" w:themeFillShade="D9"/>
          </w:tcPr>
          <w:p w:rsidR="002A03C0" w:rsidRDefault="00487734">
            <w:pPr>
              <w:spacing w:before="40" w:after="40" w:line="240" w:lineRule="auto"/>
              <w:rPr>
                <w:rFonts w:cs="Times New Roman"/>
                <w:szCs w:val="22"/>
              </w:rPr>
            </w:pPr>
            <w:r>
              <w:rPr>
                <w:rFonts w:cs="Times New Roman"/>
                <w:b w:val="0"/>
                <w:szCs w:val="22"/>
              </w:rPr>
              <w:t>Year 5</w:t>
            </w:r>
          </w:p>
        </w:tc>
        <w:tc>
          <w:tcPr>
            <w:tcW w:w="241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487734">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(4 year average)</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66.3</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61.2</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47.0</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75.5</w:t>
            </w:r>
          </w:p>
        </w:tc>
        <w:tc>
          <w:tcPr>
            <w:tcW w:w="1341" w:type="dxa"/>
            <w:tcBorders>
              <w:top w:val="single" w:sz="4" w:space="0" w:color="126CB5"/>
              <w:left w:val="single" w:sz="4" w:space="0" w:color="FFFFFF" w:themeColor="background1"/>
              <w:bottom w:val="single" w:sz="4" w:space="0" w:color="FFFFFF" w:themeColor="background1"/>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Similar</w:t>
            </w:r>
          </w:p>
        </w:tc>
      </w:tr>
      <w:tr w:rsidR="000E2EFB" w:rsidTr="000E2EFB">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2" w:space="0" w:color="126CB5"/>
              <w:right w:val="single" w:sz="4" w:space="0" w:color="FFFFFF" w:themeColor="background1"/>
            </w:tcBorders>
            <w:shd w:val="clear" w:color="auto" w:fill="auto"/>
          </w:tcPr>
          <w:p w:rsidR="002A03C0" w:rsidRDefault="00487734">
            <w:pPr>
              <w:spacing w:before="40" w:after="40" w:line="240" w:lineRule="auto"/>
              <w:rPr>
                <w:rFonts w:cs="Times New Roman"/>
                <w:szCs w:val="22"/>
              </w:rPr>
            </w:pPr>
            <w:r>
              <w:rPr>
                <w:rFonts w:cs="Times New Roman"/>
                <w:b w:val="0"/>
                <w:szCs w:val="22"/>
              </w:rPr>
              <w:t>Year 5</w:t>
            </w:r>
          </w:p>
        </w:tc>
        <w:tc>
          <w:tcPr>
            <w:tcW w:w="241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487734">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 xml:space="preserve">  65.5</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54.8</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39.2</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71.4</w:t>
            </w:r>
          </w:p>
        </w:tc>
        <w:tc>
          <w:tcPr>
            <w:tcW w:w="1341" w:type="dxa"/>
            <w:tcBorders>
              <w:top w:val="single" w:sz="4" w:space="0" w:color="FFFFFF" w:themeColor="background1"/>
              <w:left w:val="single" w:sz="4" w:space="0" w:color="FFFFFF" w:themeColor="background1"/>
              <w:bottom w:val="single" w:sz="2" w:space="0" w:color="126CB5"/>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Similar</w:t>
            </w:r>
          </w:p>
        </w:tc>
      </w:tr>
    </w:tbl>
    <w:p w:rsidR="002A03C0" w:rsidRDefault="00487734">
      <w:pPr>
        <w:pStyle w:val="ESBodyText"/>
      </w:pPr>
    </w:p>
    <w:p w:rsidR="002A03C0" w:rsidRDefault="00487734">
      <w:pPr>
        <w:pStyle w:val="ESBodyText"/>
        <w:rPr>
          <w:rFonts w:eastAsiaTheme="majorEastAsia" w:cstheme="majorBidi"/>
          <w:b/>
          <w:bCs/>
          <w:color w:val="00008B"/>
          <w:szCs w:val="20"/>
        </w:rPr>
      </w:pPr>
      <w:r>
        <w:rPr>
          <w:rFonts w:eastAsiaTheme="majorEastAsia" w:cstheme="majorBidi"/>
          <w:b/>
          <w:bCs/>
          <w:color w:val="00008B"/>
          <w:szCs w:val="20"/>
        </w:rPr>
        <w:t>NAPLAN Learning Gain</w:t>
      </w:r>
    </w:p>
    <w:p w:rsidR="002A03C0" w:rsidRDefault="00487734">
      <w:pPr>
        <w:pStyle w:val="ESBodyText"/>
      </w:pPr>
      <w:r>
        <w:t>Learning gain of students from year levels 3 to 5 in the following domains; Reading, Numeracy, Writing, Spelling and Grammar and Punctuation.</w:t>
      </w:r>
    </w:p>
    <w:p w:rsidR="002A03C0" w:rsidRDefault="00487734">
      <w:pPr>
        <w:pStyle w:val="ESBodyText"/>
      </w:pPr>
      <w:r>
        <w:t>NAPLAN learning gain is determined by comparing a student's current year result to the results of all ‘similar’ Victorian students (i.e. students in all sectors in the same year level who had the same score two years prior).  If the student’s gain is in th</w:t>
      </w:r>
      <w:r>
        <w:t>e top 25 percent of their cohort, their gain level is categorised as ‘High’.  If their gain is in the bottom 25 percent of their cohort, their gain level is ‘Low’, and for the remaining 50 percent of gains the gain level is categorised as ‘Medium’.</w:t>
      </w:r>
    </w:p>
    <w:p w:rsidR="002A03C0" w:rsidRDefault="00487734">
      <w:pPr>
        <w:pStyle w:val="ESBodyText"/>
      </w:pPr>
      <w:r>
        <w:t>The tab</w:t>
      </w:r>
      <w:r>
        <w:t>le below displays the percentage of students in each of the Learning Gain levels in this school for each NAPLAN domain.</w:t>
      </w:r>
    </w:p>
    <w:tbl>
      <w:tblPr>
        <w:tblStyle w:val="GridTable2-Accent611"/>
        <w:tblW w:w="10569" w:type="dxa"/>
        <w:jc w:val="center"/>
        <w:tblLayout w:type="fixed"/>
        <w:tblLook w:val="04A0" w:firstRow="1" w:lastRow="0" w:firstColumn="1" w:lastColumn="0" w:noHBand="0" w:noVBand="1"/>
        <w:tblCaption w:val="NAPLAN relative growth rates"/>
      </w:tblPr>
      <w:tblGrid>
        <w:gridCol w:w="3730"/>
        <w:gridCol w:w="2279"/>
        <w:gridCol w:w="2280"/>
        <w:gridCol w:w="2280"/>
      </w:tblGrid>
      <w:tr w:rsidR="000E2EFB" w:rsidTr="000E2EFB">
        <w:trPr>
          <w:cnfStyle w:val="100000000000" w:firstRow="1" w:lastRow="0" w:firstColumn="0" w:lastColumn="0" w:oddVBand="0" w:evenVBand="0" w:oddHBand="0" w:evenHBand="0" w:firstRowFirstColumn="0" w:firstRowLastColumn="0" w:lastRowFirstColumn="0" w:lastRowLastColumn="0"/>
          <w:trHeight w:val="395"/>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bottom w:val="single" w:sz="12" w:space="0" w:color="FFFFFF"/>
            </w:tcBorders>
            <w:shd w:val="clear" w:color="auto" w:fill="106CB5"/>
            <w:noWrap/>
            <w:vAlign w:val="center"/>
            <w:hideMark/>
          </w:tcPr>
          <w:p w:rsidR="002A03C0" w:rsidRDefault="00487734">
            <w:pPr>
              <w:spacing w:before="40" w:after="40" w:line="240" w:lineRule="auto"/>
              <w:rPr>
                <w:rFonts w:cs="Times New Roman"/>
                <w:color w:val="FFFFFF"/>
                <w:szCs w:val="22"/>
              </w:rPr>
            </w:pPr>
            <w:r>
              <w:rPr>
                <w:rFonts w:cs="Times New Roman"/>
                <w:bCs w:val="0"/>
                <w:color w:val="FFFFFF"/>
                <w:szCs w:val="22"/>
              </w:rPr>
              <w:t>NAPLAN Learning Gain</w:t>
            </w:r>
          </w:p>
        </w:tc>
        <w:tc>
          <w:tcPr>
            <w:tcW w:w="2279" w:type="dxa"/>
            <w:tcBorders>
              <w:bottom w:val="single" w:sz="12" w:space="0" w:color="FFFFFF"/>
            </w:tcBorders>
            <w:shd w:val="clear" w:color="auto" w:fill="106CB5"/>
            <w:noWrap/>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Low Growth</w:t>
            </w:r>
          </w:p>
        </w:tc>
        <w:tc>
          <w:tcPr>
            <w:tcW w:w="2280" w:type="dxa"/>
            <w:tcBorders>
              <w:bottom w:val="single" w:sz="12" w:space="0" w:color="FFFFFF"/>
            </w:tcBorders>
            <w:shd w:val="clear" w:color="auto" w:fill="106CB5"/>
            <w:noWrap/>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Medium Growth</w:t>
            </w:r>
          </w:p>
        </w:tc>
        <w:tc>
          <w:tcPr>
            <w:tcW w:w="2280" w:type="dxa"/>
            <w:tcBorders>
              <w:bottom w:val="single" w:sz="12" w:space="0" w:color="FFFFFF"/>
            </w:tcBorders>
            <w:shd w:val="clear" w:color="auto" w:fill="106CB5"/>
            <w:noWrap/>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High Growth</w:t>
            </w:r>
          </w:p>
        </w:tc>
      </w:tr>
      <w:tr w:rsidR="000E2EFB" w:rsidTr="000E2E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12" w:space="0" w:color="FFFFFF"/>
              <w:bottom w:val="single" w:sz="4" w:space="0" w:color="126CB5"/>
            </w:tcBorders>
            <w:shd w:val="clear" w:color="auto" w:fill="FFFFFF"/>
            <w:noWrap/>
            <w:vAlign w:val="center"/>
          </w:tcPr>
          <w:p w:rsidR="002A03C0" w:rsidRDefault="00487734">
            <w:pPr>
              <w:spacing w:before="40" w:after="40" w:line="240" w:lineRule="auto"/>
              <w:rPr>
                <w:rFonts w:cs="Times New Roman"/>
                <w:szCs w:val="22"/>
              </w:rPr>
            </w:pPr>
            <w:r>
              <w:rPr>
                <w:rFonts w:cs="Times New Roman"/>
                <w:szCs w:val="22"/>
              </w:rPr>
              <w:t>Domain</w:t>
            </w:r>
          </w:p>
        </w:tc>
        <w:tc>
          <w:tcPr>
            <w:tcW w:w="2279" w:type="dxa"/>
            <w:tcBorders>
              <w:top w:val="single" w:sz="12" w:space="0" w:color="FFFFFF"/>
              <w:bottom w:val="single" w:sz="4" w:space="0" w:color="12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126CB5"/>
              <w:bottom w:val="single" w:sz="4" w:space="0" w:color="FFFFFF" w:themeColor="background1"/>
              <w:right w:val="single" w:sz="4" w:space="0" w:color="FFFFFF" w:themeColor="background1"/>
            </w:tcBorders>
            <w:shd w:val="clear" w:color="auto" w:fill="D9D9D9"/>
            <w:noWrap/>
            <w:vAlign w:val="center"/>
          </w:tcPr>
          <w:p w:rsidR="002A03C0" w:rsidRDefault="00487734">
            <w:pPr>
              <w:spacing w:before="40" w:after="40" w:line="240" w:lineRule="auto"/>
              <w:rPr>
                <w:rFonts w:cs="Times New Roman"/>
                <w:szCs w:val="22"/>
              </w:rPr>
            </w:pPr>
            <w:r>
              <w:rPr>
                <w:rFonts w:cs="Times New Roman"/>
                <w:b w:val="0"/>
                <w:szCs w:val="22"/>
              </w:rPr>
              <w:t>Reading</w:t>
            </w:r>
          </w:p>
        </w:tc>
        <w:tc>
          <w:tcPr>
            <w:tcW w:w="227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46.2</w:t>
            </w:r>
          </w:p>
        </w:tc>
        <w:tc>
          <w:tcPr>
            <w:tcW w:w="228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15.4</w:t>
            </w:r>
          </w:p>
        </w:tc>
        <w:tc>
          <w:tcPr>
            <w:tcW w:w="2280" w:type="dxa"/>
            <w:tcBorders>
              <w:top w:val="single" w:sz="4" w:space="0" w:color="126CB5"/>
              <w:left w:val="single" w:sz="4" w:space="0" w:color="FFFFFF" w:themeColor="background1"/>
              <w:bottom w:val="single" w:sz="4" w:space="0" w:color="FFFFFF" w:themeColor="background1"/>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38.5</w:t>
            </w:r>
          </w:p>
        </w:tc>
      </w:tr>
      <w:tr w:rsidR="000E2EFB" w:rsidTr="000E2EFB">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487734">
            <w:pPr>
              <w:spacing w:before="40" w:after="40" w:line="240" w:lineRule="auto"/>
              <w:rPr>
                <w:rFonts w:cs="Times New Roman"/>
                <w:szCs w:val="22"/>
              </w:rPr>
            </w:pPr>
            <w:r>
              <w:rPr>
                <w:rFonts w:cs="Times New Roman"/>
                <w:b w:val="0"/>
                <w:bCs w:val="0"/>
                <w:szCs w:val="22"/>
              </w:rPr>
              <w:t>Numeracy</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15.4</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69.2</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15.4</w:t>
            </w: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2A03C0" w:rsidRDefault="00487734">
            <w:pPr>
              <w:spacing w:before="40" w:after="40" w:line="240" w:lineRule="auto"/>
              <w:rPr>
                <w:rFonts w:cs="Times New Roman"/>
                <w:szCs w:val="22"/>
              </w:rPr>
            </w:pPr>
            <w:r>
              <w:rPr>
                <w:rFonts w:cs="Times New Roman"/>
                <w:b w:val="0"/>
                <w:szCs w:val="22"/>
              </w:rPr>
              <w:t>Writing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25.0</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41.7</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DBD9D6"/>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33.3</w:t>
            </w:r>
          </w:p>
        </w:tc>
      </w:tr>
      <w:tr w:rsidR="000E2EFB" w:rsidTr="000E2EFB">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487734">
            <w:pPr>
              <w:spacing w:before="40" w:after="40" w:line="240" w:lineRule="auto"/>
              <w:rPr>
                <w:rFonts w:cs="Times New Roman"/>
                <w:szCs w:val="22"/>
              </w:rPr>
            </w:pPr>
            <w:r>
              <w:rPr>
                <w:rFonts w:cs="Times New Roman"/>
                <w:b w:val="0"/>
                <w:bCs w:val="0"/>
                <w:szCs w:val="22"/>
              </w:rPr>
              <w:t>Spelling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15.4</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38.5</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46.2</w:t>
            </w: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106CB5"/>
              <w:right w:val="single" w:sz="4" w:space="0" w:color="FFFFFF" w:themeColor="background1"/>
            </w:tcBorders>
            <w:shd w:val="clear" w:color="auto" w:fill="DBD9D6"/>
            <w:noWrap/>
            <w:vAlign w:val="center"/>
          </w:tcPr>
          <w:p w:rsidR="002A03C0" w:rsidRDefault="00487734">
            <w:pPr>
              <w:spacing w:before="40" w:after="40" w:line="240" w:lineRule="auto"/>
              <w:rPr>
                <w:rFonts w:cs="Times New Roman"/>
                <w:szCs w:val="22"/>
              </w:rPr>
            </w:pPr>
            <w:r>
              <w:rPr>
                <w:rFonts w:cs="Times New Roman"/>
                <w:b w:val="0"/>
                <w:szCs w:val="22"/>
              </w:rPr>
              <w:t>Grammar and Punctuation</w:t>
            </w:r>
          </w:p>
        </w:tc>
        <w:tc>
          <w:tcPr>
            <w:tcW w:w="2279"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38.5</w:t>
            </w:r>
          </w:p>
        </w:tc>
        <w:tc>
          <w:tcPr>
            <w:tcW w:w="2280"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38.5</w:t>
            </w:r>
          </w:p>
        </w:tc>
        <w:tc>
          <w:tcPr>
            <w:tcW w:w="2280" w:type="dxa"/>
            <w:tcBorders>
              <w:top w:val="single" w:sz="4" w:space="0" w:color="FFFFFF" w:themeColor="background1"/>
              <w:left w:val="single" w:sz="4" w:space="0" w:color="FFFFFF" w:themeColor="background1"/>
              <w:bottom w:val="single" w:sz="4" w:space="0" w:color="106CB5"/>
            </w:tcBorders>
            <w:shd w:val="clear" w:color="auto" w:fill="DBD9D6"/>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23.1</w:t>
            </w:r>
          </w:p>
        </w:tc>
      </w:tr>
    </w:tbl>
    <w:p w:rsidR="002A03C0" w:rsidRDefault="00487734">
      <w:pPr>
        <w:pStyle w:val="ESHeading2"/>
        <w:rPr>
          <w:color w:val="00008B"/>
          <w:u w:val="single"/>
        </w:rPr>
      </w:pPr>
      <w:r>
        <w:rPr>
          <w:color w:val="00008B"/>
          <w:u w:val="single"/>
        </w:rPr>
        <w:t>engagement</w:t>
      </w:r>
    </w:p>
    <w:p w:rsidR="002A03C0" w:rsidRDefault="00487734">
      <w:pPr>
        <w:pStyle w:val="ESBodyText"/>
        <w:rPr>
          <w:rFonts w:eastAsiaTheme="majorEastAsia" w:cstheme="majorBidi"/>
          <w:b/>
          <w:bCs/>
          <w:color w:val="00008B"/>
          <w:szCs w:val="20"/>
        </w:rPr>
      </w:pPr>
      <w:r>
        <w:rPr>
          <w:rFonts w:eastAsiaTheme="majorEastAsia" w:cstheme="majorBidi"/>
          <w:b/>
          <w:bCs/>
          <w:color w:val="00008B"/>
          <w:szCs w:val="20"/>
        </w:rPr>
        <w:t>Average Number of Student Absence Days</w:t>
      </w:r>
    </w:p>
    <w:p w:rsidR="002A03C0" w:rsidRDefault="00487734">
      <w:pPr>
        <w:pStyle w:val="ESBodyText"/>
      </w:pPr>
      <w:r>
        <w:t xml:space="preserve">Absence from school can impact on students’ learning. A school comparison rating of ‘Higher’ indicates this </w:t>
      </w:r>
      <w:r>
        <w:t>school records less absences than expected, given the background characteristics of students. A rating of ‘Lower’ indicates this school records more absences than expected.</w:t>
      </w:r>
    </w:p>
    <w:p w:rsidR="002A03C0" w:rsidRDefault="00487734">
      <w:pPr>
        <w:pStyle w:val="ESBodyText"/>
      </w:pPr>
      <w:r>
        <w:t>Common reasons for non-attendance include illness and extended family holidays.</w:t>
      </w:r>
    </w:p>
    <w:tbl>
      <w:tblPr>
        <w:tblStyle w:val="GridTable2-Accent61"/>
        <w:tblW w:w="4850" w:type="pct"/>
        <w:jc w:val="center"/>
        <w:tblLayout w:type="fixed"/>
        <w:tblLook w:val="04A0" w:firstRow="1" w:lastRow="0" w:firstColumn="1" w:lastColumn="0" w:noHBand="0" w:noVBand="1"/>
        <w:tblCaption w:val="Average number of student absence days"/>
      </w:tblPr>
      <w:tblGrid>
        <w:gridCol w:w="4529"/>
        <w:gridCol w:w="1147"/>
        <w:gridCol w:w="1149"/>
        <w:gridCol w:w="1147"/>
        <w:gridCol w:w="1149"/>
        <w:gridCol w:w="1322"/>
      </w:tblGrid>
      <w:tr w:rsidR="000E2EFB" w:rsidTr="000E2EFB">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bottom w:val="single" w:sz="12" w:space="0" w:color="FFFFFF"/>
            </w:tcBorders>
            <w:shd w:val="clear" w:color="auto" w:fill="106CB5"/>
            <w:vAlign w:val="center"/>
            <w:hideMark/>
          </w:tcPr>
          <w:p w:rsidR="002A03C0" w:rsidRDefault="00487734">
            <w:pPr>
              <w:spacing w:before="40" w:after="40" w:line="240" w:lineRule="auto"/>
              <w:rPr>
                <w:rFonts w:cs="Times New Roman"/>
                <w:color w:val="FFFFFF"/>
                <w:szCs w:val="22"/>
              </w:rPr>
            </w:pPr>
            <w:r>
              <w:rPr>
                <w:rFonts w:cs="Times New Roman"/>
                <w:color w:val="FFFFFF"/>
                <w:szCs w:val="22"/>
              </w:rPr>
              <w:t>Ave</w:t>
            </w:r>
            <w:r>
              <w:rPr>
                <w:rFonts w:cs="Times New Roman"/>
                <w:color w:val="FFFFFF"/>
                <w:szCs w:val="22"/>
              </w:rPr>
              <w:t>rage number of absence days</w:t>
            </w:r>
          </w:p>
        </w:tc>
        <w:tc>
          <w:tcPr>
            <w:tcW w:w="549"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550"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549"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550"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33"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0E2EFB" w:rsidTr="000E2E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rPr>
                <w:rFonts w:cs="Times New Roman"/>
                <w:szCs w:val="22"/>
              </w:rPr>
            </w:pPr>
          </w:p>
        </w:tc>
        <w:tc>
          <w:tcPr>
            <w:tcW w:w="549"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49" w:type="pct"/>
            <w:tcBorders>
              <w:top w:val="single" w:sz="12" w:space="0" w:color="FFFFFF"/>
              <w:bottom w:val="single" w:sz="2" w:space="0" w:color="106CB5"/>
            </w:tcBorders>
            <w:shd w:val="clear" w:color="auto" w:fill="FFFFFF"/>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633" w:type="pct"/>
            <w:tcBorders>
              <w:top w:val="single" w:sz="12" w:space="0" w:color="FFFFFF"/>
              <w:bottom w:val="single" w:sz="2" w:space="0" w:color="106CB5"/>
            </w:tcBorders>
            <w:shd w:val="clear" w:color="auto" w:fill="FFFFFF"/>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D9D9D9"/>
            <w:noWrap/>
            <w:vAlign w:val="center"/>
          </w:tcPr>
          <w:p w:rsidR="002A03C0" w:rsidRDefault="00487734">
            <w:pPr>
              <w:spacing w:before="40" w:after="40" w:line="240" w:lineRule="auto"/>
              <w:rPr>
                <w:rFonts w:cs="Times New Roman"/>
                <w:szCs w:val="22"/>
              </w:rPr>
            </w:pPr>
            <w:r>
              <w:rPr>
                <w:rFonts w:cs="Times New Roman"/>
                <w:szCs w:val="22"/>
              </w:rPr>
              <w:t>Average number of absence days (latest year)</w:t>
            </w:r>
          </w:p>
        </w:tc>
        <w:tc>
          <w:tcPr>
            <w:tcW w:w="549" w:type="pct"/>
            <w:tcBorders>
              <w:top w:val="single" w:sz="2" w:space="0" w:color="106CB5"/>
              <w:bottom w:val="single" w:sz="2" w:space="0" w:color="106CB5"/>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16.8</w:t>
            </w:r>
          </w:p>
        </w:tc>
        <w:tc>
          <w:tcPr>
            <w:tcW w:w="550" w:type="pct"/>
            <w:tcBorders>
              <w:top w:val="single" w:sz="2" w:space="0" w:color="106CB5"/>
              <w:bottom w:val="single" w:sz="2" w:space="0" w:color="106CB5"/>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15.1</w:t>
            </w:r>
          </w:p>
        </w:tc>
        <w:tc>
          <w:tcPr>
            <w:tcW w:w="549" w:type="pct"/>
            <w:tcBorders>
              <w:top w:val="single" w:sz="2" w:space="0" w:color="106CB5"/>
              <w:bottom w:val="single" w:sz="2" w:space="0" w:color="106CB5"/>
            </w:tcBorders>
            <w:shd w:val="clear" w:color="auto" w:fill="D9D9D9"/>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12.9</w:t>
            </w:r>
          </w:p>
        </w:tc>
        <w:tc>
          <w:tcPr>
            <w:tcW w:w="550" w:type="pct"/>
            <w:tcBorders>
              <w:top w:val="single" w:sz="2" w:space="0" w:color="106CB5"/>
              <w:bottom w:val="single" w:sz="2" w:space="0" w:color="106CB5"/>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18.1</w:t>
            </w:r>
          </w:p>
        </w:tc>
        <w:tc>
          <w:tcPr>
            <w:tcW w:w="633" w:type="pct"/>
            <w:tcBorders>
              <w:top w:val="single" w:sz="2" w:space="0" w:color="106CB5"/>
              <w:bottom w:val="single" w:sz="2" w:space="0" w:color="106CB5"/>
            </w:tcBorders>
            <w:shd w:val="clear" w:color="auto" w:fill="D9D9D9"/>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Similar</w:t>
            </w:r>
          </w:p>
        </w:tc>
      </w:tr>
      <w:tr w:rsidR="000E2EFB" w:rsidTr="000E2EFB">
        <w:trP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auto"/>
            <w:noWrap/>
            <w:vAlign w:val="center"/>
            <w:hideMark/>
          </w:tcPr>
          <w:p w:rsidR="002A03C0" w:rsidRDefault="00487734">
            <w:pPr>
              <w:spacing w:before="40" w:after="40" w:line="240" w:lineRule="auto"/>
              <w:rPr>
                <w:rFonts w:cs="Times New Roman"/>
                <w:szCs w:val="22"/>
              </w:rPr>
            </w:pPr>
            <w:r>
              <w:rPr>
                <w:rFonts w:cs="Times New Roman"/>
                <w:szCs w:val="22"/>
              </w:rPr>
              <w:t xml:space="preserve">Average number of absence days (4 year </w:t>
            </w:r>
            <w:r>
              <w:rPr>
                <w:rFonts w:cs="Times New Roman"/>
                <w:szCs w:val="22"/>
              </w:rPr>
              <w:t>average)</w:t>
            </w:r>
          </w:p>
        </w:tc>
        <w:tc>
          <w:tcPr>
            <w:tcW w:w="549" w:type="pct"/>
            <w:tcBorders>
              <w:top w:val="single" w:sz="2" w:space="0" w:color="106CB5"/>
              <w:bottom w:val="single" w:sz="2" w:space="0" w:color="106CB5"/>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17.0</w:t>
            </w:r>
          </w:p>
        </w:tc>
        <w:tc>
          <w:tcPr>
            <w:tcW w:w="550" w:type="pct"/>
            <w:tcBorders>
              <w:top w:val="single" w:sz="2" w:space="0" w:color="106CB5"/>
              <w:bottom w:val="single" w:sz="2" w:space="0" w:color="106CB5"/>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15.2</w:t>
            </w:r>
          </w:p>
        </w:tc>
        <w:tc>
          <w:tcPr>
            <w:tcW w:w="549" w:type="pct"/>
            <w:tcBorders>
              <w:top w:val="single" w:sz="2" w:space="0" w:color="106CB5"/>
              <w:bottom w:val="single" w:sz="2" w:space="0" w:color="106CB5"/>
            </w:tcBorders>
            <w:shd w:val="clear" w:color="auto" w:fill="auto"/>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13.2</w:t>
            </w:r>
          </w:p>
        </w:tc>
        <w:tc>
          <w:tcPr>
            <w:tcW w:w="550" w:type="pct"/>
            <w:tcBorders>
              <w:top w:val="single" w:sz="2" w:space="0" w:color="106CB5"/>
              <w:bottom w:val="single" w:sz="2" w:space="0" w:color="106CB5"/>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17.8</w:t>
            </w:r>
          </w:p>
        </w:tc>
        <w:tc>
          <w:tcPr>
            <w:tcW w:w="633" w:type="pct"/>
            <w:tcBorders>
              <w:top w:val="single" w:sz="2" w:space="0" w:color="106CB5"/>
              <w:bottom w:val="single" w:sz="2" w:space="0" w:color="106CB5"/>
            </w:tcBorders>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Lower</w:t>
            </w:r>
          </w:p>
        </w:tc>
      </w:tr>
    </w:tbl>
    <w:p w:rsidR="002A03C0" w:rsidRDefault="00487734">
      <w:pPr>
        <w:pStyle w:val="ESBodyText"/>
        <w:rPr>
          <w:rFonts w:eastAsiaTheme="majorEastAsia" w:cstheme="majorBidi"/>
          <w:b/>
          <w:bCs/>
          <w:color w:val="AF272F"/>
          <w:szCs w:val="20"/>
        </w:rPr>
      </w:pPr>
    </w:p>
    <w:p w:rsidR="002A03C0" w:rsidRDefault="00487734">
      <w:pPr>
        <w:pStyle w:val="ESBodyText"/>
        <w:rPr>
          <w:rFonts w:eastAsiaTheme="majorEastAsia" w:cstheme="majorBidi"/>
          <w:b/>
          <w:bCs/>
          <w:color w:val="00008B"/>
          <w:szCs w:val="20"/>
        </w:rPr>
      </w:pPr>
      <w:r>
        <w:rPr>
          <w:rFonts w:eastAsiaTheme="majorEastAsia" w:cstheme="majorBidi"/>
          <w:b/>
          <w:bCs/>
          <w:color w:val="00008B"/>
          <w:szCs w:val="20"/>
        </w:rPr>
        <w:t>Attendance Rate</w:t>
      </w:r>
    </w:p>
    <w:p w:rsidR="002A03C0" w:rsidRDefault="00487734">
      <w:pPr>
        <w:pStyle w:val="ESBodyText"/>
      </w:pPr>
      <w:r>
        <w:t>Average 2018 attendance rate by year level:</w:t>
      </w:r>
    </w:p>
    <w:tbl>
      <w:tblPr>
        <w:tblStyle w:val="GridTable2-Accent61"/>
        <w:tblW w:w="4838" w:type="pct"/>
        <w:jc w:val="center"/>
        <w:tblLook w:val="04A0" w:firstRow="1" w:lastRow="0" w:firstColumn="1" w:lastColumn="0" w:noHBand="0" w:noVBand="1"/>
        <w:tblCaption w:val="Attendance rate"/>
      </w:tblPr>
      <w:tblGrid>
        <w:gridCol w:w="3155"/>
        <w:gridCol w:w="1038"/>
        <w:gridCol w:w="1038"/>
        <w:gridCol w:w="1038"/>
        <w:gridCol w:w="1040"/>
        <w:gridCol w:w="1035"/>
        <w:gridCol w:w="1035"/>
        <w:gridCol w:w="1038"/>
      </w:tblGrid>
      <w:tr w:rsidR="000E2EFB" w:rsidTr="000E2EFB">
        <w:trPr>
          <w:cnfStyle w:val="100000000000" w:firstRow="1" w:lastRow="0" w:firstColumn="0" w:lastColumn="0" w:oddVBand="0" w:evenVBand="0" w:oddHBand="0" w:evenHBand="0" w:firstRowFirstColumn="0" w:firstRowLastColumn="0" w:lastRowFirstColumn="0" w:lastRowLastColumn="0"/>
          <w:trHeight w:val="501"/>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bottom w:val="single" w:sz="12" w:space="0" w:color="FFFFFF"/>
            </w:tcBorders>
            <w:shd w:val="clear" w:color="auto" w:fill="106CB5"/>
            <w:vAlign w:val="center"/>
            <w:hideMark/>
          </w:tcPr>
          <w:p w:rsidR="002A03C0" w:rsidRDefault="00487734">
            <w:pPr>
              <w:spacing w:before="40" w:after="40" w:line="240" w:lineRule="auto"/>
              <w:jc w:val="right"/>
              <w:rPr>
                <w:rFonts w:cs="Times New Roman"/>
                <w:color w:val="FFFFFF"/>
                <w:szCs w:val="22"/>
              </w:rPr>
            </w:pPr>
            <w:r>
              <w:rPr>
                <w:rFonts w:cs="Times New Roman"/>
                <w:color w:val="FFFFFF"/>
                <w:szCs w:val="22"/>
              </w:rPr>
              <w:t>Year Level</w:t>
            </w:r>
          </w:p>
        </w:tc>
        <w:tc>
          <w:tcPr>
            <w:tcW w:w="498"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Prep</w:t>
            </w:r>
          </w:p>
        </w:tc>
        <w:tc>
          <w:tcPr>
            <w:tcW w:w="498"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1</w:t>
            </w:r>
          </w:p>
        </w:tc>
        <w:tc>
          <w:tcPr>
            <w:tcW w:w="498"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2</w:t>
            </w:r>
          </w:p>
        </w:tc>
        <w:tc>
          <w:tcPr>
            <w:tcW w:w="499"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3</w:t>
            </w:r>
          </w:p>
        </w:tc>
        <w:tc>
          <w:tcPr>
            <w:tcW w:w="497"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4</w:t>
            </w:r>
          </w:p>
        </w:tc>
        <w:tc>
          <w:tcPr>
            <w:tcW w:w="497"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5</w:t>
            </w:r>
          </w:p>
        </w:tc>
        <w:tc>
          <w:tcPr>
            <w:tcW w:w="498"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6</w:t>
            </w:r>
          </w:p>
        </w:tc>
      </w:tr>
      <w:tr w:rsidR="000E2EFB" w:rsidTr="000E2E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rPr>
                <w:rFonts w:cs="Times New Roman"/>
                <w:szCs w:val="22"/>
              </w:rPr>
            </w:pPr>
          </w:p>
        </w:tc>
        <w:tc>
          <w:tcPr>
            <w:tcW w:w="498"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9"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2" w:space="0" w:color="106CB5"/>
              <w:bottom w:val="single" w:sz="2" w:space="0" w:color="106CB5"/>
            </w:tcBorders>
            <w:shd w:val="clear" w:color="auto" w:fill="D9D9D9"/>
            <w:noWrap/>
            <w:vAlign w:val="center"/>
          </w:tcPr>
          <w:p w:rsidR="002A03C0" w:rsidRDefault="00487734">
            <w:pPr>
              <w:spacing w:before="40" w:after="40" w:line="240" w:lineRule="auto"/>
              <w:rPr>
                <w:rFonts w:cs="Times New Roman"/>
                <w:szCs w:val="22"/>
              </w:rPr>
            </w:pPr>
            <w:r>
              <w:rPr>
                <w:rFonts w:cs="Times New Roman"/>
                <w:szCs w:val="22"/>
              </w:rPr>
              <w:t>Attendance Rate (latest year)</w:t>
            </w:r>
          </w:p>
        </w:tc>
        <w:tc>
          <w:tcPr>
            <w:tcW w:w="498" w:type="pct"/>
            <w:tcBorders>
              <w:top w:val="single" w:sz="2" w:space="0" w:color="106CB5"/>
              <w:bottom w:val="single" w:sz="2" w:space="0" w:color="106CB5"/>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92</w:t>
            </w:r>
          </w:p>
        </w:tc>
        <w:tc>
          <w:tcPr>
            <w:tcW w:w="498" w:type="pct"/>
            <w:tcBorders>
              <w:top w:val="single" w:sz="2" w:space="0" w:color="106CB5"/>
              <w:bottom w:val="single" w:sz="2" w:space="0" w:color="106CB5"/>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93</w:t>
            </w:r>
          </w:p>
        </w:tc>
        <w:tc>
          <w:tcPr>
            <w:tcW w:w="498" w:type="pct"/>
            <w:tcBorders>
              <w:top w:val="single" w:sz="2" w:space="0" w:color="106CB5"/>
              <w:bottom w:val="single" w:sz="2" w:space="0" w:color="106CB5"/>
            </w:tcBorders>
            <w:shd w:val="clear" w:color="auto" w:fill="D9D9D9"/>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87</w:t>
            </w:r>
          </w:p>
        </w:tc>
        <w:tc>
          <w:tcPr>
            <w:tcW w:w="499" w:type="pct"/>
            <w:tcBorders>
              <w:top w:val="single" w:sz="2" w:space="0" w:color="106CB5"/>
              <w:bottom w:val="single" w:sz="2" w:space="0" w:color="106CB5"/>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92</w:t>
            </w:r>
          </w:p>
        </w:tc>
        <w:tc>
          <w:tcPr>
            <w:tcW w:w="497" w:type="pct"/>
            <w:tcBorders>
              <w:top w:val="single" w:sz="2" w:space="0" w:color="106CB5"/>
              <w:bottom w:val="single" w:sz="2" w:space="0" w:color="106CB5"/>
            </w:tcBorders>
            <w:shd w:val="clear" w:color="auto" w:fill="D9D9D9"/>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93</w:t>
            </w:r>
          </w:p>
        </w:tc>
        <w:tc>
          <w:tcPr>
            <w:tcW w:w="497" w:type="pct"/>
            <w:tcBorders>
              <w:top w:val="single" w:sz="2" w:space="0" w:color="106CB5"/>
              <w:bottom w:val="single" w:sz="2" w:space="0" w:color="106CB5"/>
            </w:tcBorders>
            <w:shd w:val="clear" w:color="auto" w:fill="D9D9D9"/>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92</w:t>
            </w:r>
          </w:p>
        </w:tc>
        <w:tc>
          <w:tcPr>
            <w:tcW w:w="498" w:type="pct"/>
            <w:tcBorders>
              <w:top w:val="single" w:sz="2" w:space="0" w:color="106CB5"/>
              <w:bottom w:val="single" w:sz="2" w:space="0" w:color="106CB5"/>
            </w:tcBorders>
            <w:shd w:val="clear" w:color="auto" w:fill="D9D9D9"/>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91</w:t>
            </w:r>
          </w:p>
        </w:tc>
      </w:tr>
    </w:tbl>
    <w:p w:rsidR="002A03C0" w:rsidRDefault="00487734">
      <w:pPr>
        <w:pStyle w:val="ESBodyText"/>
      </w:pPr>
    </w:p>
    <w:p w:rsidR="002A03C0" w:rsidRDefault="00487734">
      <w:pPr>
        <w:pStyle w:val="ESHeading2"/>
        <w:rPr>
          <w:color w:val="00008B"/>
          <w:u w:val="single"/>
        </w:rPr>
      </w:pPr>
      <w:r>
        <w:rPr>
          <w:color w:val="00008B"/>
          <w:u w:val="single"/>
        </w:rPr>
        <w:t>WELLbeing</w:t>
      </w:r>
    </w:p>
    <w:p w:rsidR="002A03C0" w:rsidRDefault="00487734">
      <w:pPr>
        <w:pStyle w:val="ESBodyText"/>
        <w:rPr>
          <w:rFonts w:eastAsiaTheme="majorEastAsia" w:cstheme="majorBidi"/>
          <w:b/>
          <w:bCs/>
          <w:color w:val="00008B"/>
          <w:szCs w:val="20"/>
        </w:rPr>
      </w:pPr>
      <w:r>
        <w:rPr>
          <w:rFonts w:eastAsiaTheme="majorEastAsia" w:cstheme="majorBidi"/>
          <w:b/>
          <w:bCs/>
          <w:color w:val="00008B"/>
          <w:szCs w:val="20"/>
        </w:rPr>
        <w:t>Student Attitudes to School – Sense of Connectedness</w:t>
      </w:r>
    </w:p>
    <w:p w:rsidR="002A03C0" w:rsidRDefault="00487734">
      <w:pPr>
        <w:pStyle w:val="ESBodyText"/>
      </w:pPr>
      <w:r>
        <w:t>The percent endorsement on Sense of Connectedness factor, as reported in the Attitudes to School Survey completed annually by Victorian Government school students in year levels 4 to</w:t>
      </w:r>
      <w:r>
        <w:t xml:space="preserve"> 6.</w:t>
      </w:r>
    </w:p>
    <w:p w:rsidR="002A03C0" w:rsidRDefault="00487734">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connectedness to schools"/>
      </w:tblPr>
      <w:tblGrid>
        <w:gridCol w:w="3816"/>
        <w:gridCol w:w="1307"/>
        <w:gridCol w:w="1308"/>
        <w:gridCol w:w="1308"/>
        <w:gridCol w:w="1383"/>
        <w:gridCol w:w="1306"/>
      </w:tblGrid>
      <w:tr w:rsidR="000E2EFB" w:rsidTr="000E2EFB">
        <w:trPr>
          <w:cnfStyle w:val="100000000000" w:firstRow="1" w:lastRow="0" w:firstColumn="0" w:lastColumn="0" w:oddVBand="0" w:evenVBand="0" w:oddHBand="0" w:evenHBand="0" w:firstRowFirstColumn="0" w:firstRowLastColumn="0" w:lastRowFirstColumn="0" w:lastRowLastColumn="0"/>
          <w:trHeight w:val="706"/>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bottom w:val="single" w:sz="12" w:space="0" w:color="FFFFFF"/>
            </w:tcBorders>
            <w:shd w:val="clear" w:color="auto" w:fill="106CB5"/>
            <w:vAlign w:val="center"/>
            <w:hideMark/>
          </w:tcPr>
          <w:p w:rsidR="002A03C0" w:rsidRDefault="00487734">
            <w:pPr>
              <w:spacing w:before="40" w:after="40" w:line="240" w:lineRule="auto"/>
              <w:rPr>
                <w:rFonts w:cs="Times New Roman"/>
                <w:color w:val="FFFFFF"/>
                <w:szCs w:val="22"/>
              </w:rPr>
            </w:pPr>
            <w:r>
              <w:t xml:space="preserve"> </w:t>
            </w:r>
            <w:r>
              <w:rPr>
                <w:rFonts w:cs="Times New Roman"/>
                <w:color w:val="FFFFFF"/>
                <w:szCs w:val="22"/>
              </w:rPr>
              <w:t>Sense of Connectedness</w:t>
            </w:r>
          </w:p>
        </w:tc>
        <w:tc>
          <w:tcPr>
            <w:tcW w:w="627"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7"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7"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63"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26"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0E2EFB" w:rsidTr="000E2E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rPr>
                <w:rFonts w:cs="Times New Roman"/>
                <w:szCs w:val="22"/>
              </w:rPr>
            </w:pPr>
          </w:p>
        </w:tc>
        <w:tc>
          <w:tcPr>
            <w:tcW w:w="627"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63"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6" w:type="pct"/>
            <w:tcBorders>
              <w:top w:val="single" w:sz="12" w:space="0" w:color="FFFFFF"/>
              <w:bottom w:val="single" w:sz="2" w:space="0" w:color="106CB5"/>
            </w:tcBorders>
            <w:shd w:val="clear" w:color="auto" w:fill="FFFFFF"/>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06CB5"/>
              <w:bottom w:val="single" w:sz="2" w:space="0" w:color="126CB5"/>
            </w:tcBorders>
            <w:shd w:val="clear" w:color="auto" w:fill="D9D9D9" w:themeFill="background1" w:themeFillShade="D9"/>
            <w:noWrap/>
            <w:vAlign w:val="center"/>
          </w:tcPr>
          <w:p w:rsidR="002A03C0" w:rsidRDefault="00487734">
            <w:pPr>
              <w:spacing w:before="40" w:after="40" w:line="240" w:lineRule="auto"/>
              <w:rPr>
                <w:rFonts w:cs="Times New Roman"/>
                <w:szCs w:val="22"/>
              </w:rPr>
            </w:pPr>
            <w:r>
              <w:rPr>
                <w:rFonts w:cs="Times New Roman"/>
                <w:szCs w:val="22"/>
              </w:rPr>
              <w:t xml:space="preserve">Percent </w:t>
            </w:r>
            <w:r>
              <w:rPr>
                <w:rFonts w:cs="Times New Roman"/>
                <w:szCs w:val="22"/>
              </w:rPr>
              <w:t>endorsement (latest year)</w:t>
            </w:r>
          </w:p>
        </w:tc>
        <w:tc>
          <w:tcPr>
            <w:tcW w:w="627" w:type="pct"/>
            <w:tcBorders>
              <w:top w:val="single" w:sz="2" w:space="0" w:color="106CB5"/>
              <w:bottom w:val="single" w:sz="2" w:space="0" w:color="126CB5"/>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83.8</w:t>
            </w:r>
          </w:p>
        </w:tc>
        <w:tc>
          <w:tcPr>
            <w:tcW w:w="627" w:type="pct"/>
            <w:tcBorders>
              <w:top w:val="single" w:sz="2" w:space="0" w:color="106CB5"/>
              <w:bottom w:val="single" w:sz="2" w:space="0" w:color="126CB5"/>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81.1</w:t>
            </w:r>
          </w:p>
        </w:tc>
        <w:tc>
          <w:tcPr>
            <w:tcW w:w="627" w:type="pct"/>
            <w:tcBorders>
              <w:top w:val="single" w:sz="2" w:space="0" w:color="106CB5"/>
              <w:bottom w:val="single" w:sz="2" w:space="0" w:color="126CB5"/>
            </w:tcBorders>
            <w:shd w:val="clear" w:color="auto" w:fill="D9D9D9" w:themeFill="background1" w:themeFillShade="D9"/>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72.6</w:t>
            </w:r>
          </w:p>
        </w:tc>
        <w:tc>
          <w:tcPr>
            <w:tcW w:w="663" w:type="pct"/>
            <w:tcBorders>
              <w:top w:val="single" w:sz="2" w:space="0" w:color="106CB5"/>
              <w:bottom w:val="single" w:sz="2" w:space="0" w:color="126CB5"/>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89.0</w:t>
            </w:r>
          </w:p>
        </w:tc>
        <w:tc>
          <w:tcPr>
            <w:tcW w:w="626" w:type="pct"/>
            <w:tcBorders>
              <w:top w:val="single" w:sz="2" w:space="0" w:color="106CB5"/>
              <w:bottom w:val="single" w:sz="2" w:space="0" w:color="126CB5"/>
            </w:tcBorders>
            <w:shd w:val="clear" w:color="auto" w:fill="D9D9D9" w:themeFill="background1" w:themeFillShade="D9"/>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Similar</w:t>
            </w:r>
          </w:p>
        </w:tc>
      </w:tr>
      <w:tr w:rsidR="000E2EFB" w:rsidTr="000E2EFB">
        <w:trP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26CB5"/>
              <w:bottom w:val="single" w:sz="2" w:space="0" w:color="106CB5"/>
            </w:tcBorders>
            <w:shd w:val="clear" w:color="auto" w:fill="FFFFFF" w:themeFill="background1"/>
            <w:noWrap/>
            <w:vAlign w:val="center"/>
          </w:tcPr>
          <w:p w:rsidR="002A03C0" w:rsidRDefault="00487734">
            <w:pPr>
              <w:spacing w:before="40" w:after="40" w:line="240" w:lineRule="auto"/>
              <w:rPr>
                <w:rFonts w:cs="Times New Roman"/>
                <w:szCs w:val="22"/>
              </w:rPr>
            </w:pPr>
            <w:r>
              <w:rPr>
                <w:rFonts w:cs="Times New Roman"/>
                <w:szCs w:val="22"/>
              </w:rPr>
              <w:t>Percent endorsement (2 year average)</w:t>
            </w:r>
          </w:p>
        </w:tc>
        <w:tc>
          <w:tcPr>
            <w:tcW w:w="627" w:type="pct"/>
            <w:tcBorders>
              <w:top w:val="single" w:sz="2" w:space="0" w:color="126CB5"/>
              <w:bottom w:val="single" w:sz="2" w:space="0" w:color="106CB5"/>
            </w:tcBorders>
            <w:shd w:val="clear" w:color="auto" w:fill="FFFFFF" w:themeFill="background1"/>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 xml:space="preserve"> 81.9</w:t>
            </w:r>
          </w:p>
        </w:tc>
        <w:tc>
          <w:tcPr>
            <w:tcW w:w="627" w:type="pct"/>
            <w:tcBorders>
              <w:top w:val="single" w:sz="2" w:space="0" w:color="126CB5"/>
              <w:bottom w:val="single" w:sz="2" w:space="0" w:color="106CB5"/>
            </w:tcBorders>
            <w:shd w:val="clear" w:color="auto" w:fill="FFFFFF" w:themeFill="background1"/>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 xml:space="preserve"> 81.7</w:t>
            </w:r>
          </w:p>
        </w:tc>
        <w:tc>
          <w:tcPr>
            <w:tcW w:w="627" w:type="pct"/>
            <w:tcBorders>
              <w:top w:val="single" w:sz="2" w:space="0" w:color="126CB5"/>
              <w:bottom w:val="single" w:sz="2" w:space="0" w:color="106CB5"/>
            </w:tcBorders>
            <w:shd w:val="clear" w:color="auto" w:fill="FFFFFF" w:themeFill="background1"/>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 xml:space="preserve"> 73.8</w:t>
            </w:r>
          </w:p>
        </w:tc>
        <w:tc>
          <w:tcPr>
            <w:tcW w:w="663" w:type="pct"/>
            <w:tcBorders>
              <w:top w:val="single" w:sz="2" w:space="0" w:color="126CB5"/>
              <w:bottom w:val="single" w:sz="2" w:space="0" w:color="106CB5"/>
            </w:tcBorders>
            <w:shd w:val="clear" w:color="auto" w:fill="FFFFFF" w:themeFill="background1"/>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 xml:space="preserve"> 88.7</w:t>
            </w:r>
          </w:p>
        </w:tc>
        <w:tc>
          <w:tcPr>
            <w:tcW w:w="626" w:type="pct"/>
            <w:tcBorders>
              <w:top w:val="single" w:sz="2" w:space="0" w:color="126CB5"/>
              <w:bottom w:val="single" w:sz="2" w:space="0" w:color="106CB5"/>
            </w:tcBorders>
            <w:shd w:val="clear" w:color="auto" w:fill="FFFFFF" w:themeFill="background1"/>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Similar</w:t>
            </w:r>
          </w:p>
        </w:tc>
      </w:tr>
    </w:tbl>
    <w:p w:rsidR="002A03C0" w:rsidRDefault="00487734">
      <w:pPr>
        <w:spacing w:after="0" w:line="240" w:lineRule="auto"/>
      </w:pPr>
      <w:r>
        <w:br w:type="page"/>
      </w:r>
    </w:p>
    <w:p w:rsidR="002A03C0" w:rsidRDefault="00487734">
      <w:pPr>
        <w:pStyle w:val="ESBodyText"/>
        <w:rPr>
          <w:rFonts w:eastAsiaTheme="majorEastAsia" w:cstheme="majorBidi"/>
          <w:bCs/>
          <w:szCs w:val="20"/>
        </w:rPr>
      </w:pPr>
    </w:p>
    <w:p w:rsidR="002A03C0" w:rsidRDefault="00487734">
      <w:pPr>
        <w:pStyle w:val="ESBodyText"/>
        <w:rPr>
          <w:rFonts w:eastAsiaTheme="majorEastAsia" w:cstheme="majorBidi"/>
          <w:b/>
          <w:bCs/>
          <w:color w:val="00008B"/>
          <w:szCs w:val="20"/>
        </w:rPr>
      </w:pPr>
      <w:r>
        <w:rPr>
          <w:rFonts w:eastAsiaTheme="majorEastAsia" w:cstheme="majorBidi"/>
          <w:b/>
          <w:bCs/>
          <w:color w:val="00008B"/>
          <w:szCs w:val="20"/>
        </w:rPr>
        <w:t>Student Attitudes to School – Management of Bullying</w:t>
      </w:r>
    </w:p>
    <w:p w:rsidR="002A03C0" w:rsidRDefault="00487734">
      <w:pPr>
        <w:pStyle w:val="ESBodyText"/>
        <w:rPr>
          <w:rFonts w:eastAsiaTheme="majorEastAsia" w:cstheme="majorBidi"/>
          <w:bCs/>
          <w:szCs w:val="20"/>
        </w:rPr>
      </w:pPr>
      <w:r>
        <w:t xml:space="preserve">The percent endorsement on Management of Bullying factor, as reported </w:t>
      </w:r>
      <w:r>
        <w:t>in the Attitudes to School Survey completed annually by Victorian Government school students in year levels 4 to 6.</w:t>
      </w:r>
    </w:p>
    <w:p w:rsidR="002A03C0" w:rsidRDefault="00487734">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student perception of safety"/>
      </w:tblPr>
      <w:tblGrid>
        <w:gridCol w:w="3800"/>
        <w:gridCol w:w="1293"/>
        <w:gridCol w:w="1293"/>
        <w:gridCol w:w="1293"/>
        <w:gridCol w:w="1460"/>
        <w:gridCol w:w="1289"/>
      </w:tblGrid>
      <w:tr w:rsidR="000E2EFB" w:rsidTr="000E2EFB">
        <w:trPr>
          <w:cnfStyle w:val="100000000000" w:firstRow="1" w:lastRow="0" w:firstColumn="0" w:lastColumn="0" w:oddVBand="0" w:evenVBand="0" w:oddHBand="0" w:evenHBand="0" w:firstRowFirstColumn="0" w:firstRowLastColumn="0" w:lastRowFirstColumn="0" w:lastRowLastColumn="0"/>
          <w:trHeight w:val="661"/>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bottom w:val="single" w:sz="12" w:space="0" w:color="FFFFFF"/>
            </w:tcBorders>
            <w:shd w:val="clear" w:color="auto" w:fill="106CB5"/>
            <w:vAlign w:val="center"/>
            <w:hideMark/>
          </w:tcPr>
          <w:p w:rsidR="002A03C0" w:rsidRDefault="00487734">
            <w:pPr>
              <w:spacing w:before="40" w:after="40" w:line="240" w:lineRule="auto"/>
              <w:rPr>
                <w:rFonts w:cs="Times New Roman"/>
                <w:color w:val="FFFFFF"/>
                <w:szCs w:val="22"/>
              </w:rPr>
            </w:pPr>
            <w:r>
              <w:t xml:space="preserve"> </w:t>
            </w:r>
            <w:r>
              <w:rPr>
                <w:rFonts w:cs="Times New Roman"/>
                <w:color w:val="FFFFFF"/>
                <w:szCs w:val="22"/>
              </w:rPr>
              <w:t>Management of Bullying</w:t>
            </w:r>
          </w:p>
        </w:tc>
        <w:tc>
          <w:tcPr>
            <w:tcW w:w="620"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0"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0"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w:t>
            </w:r>
            <w:r>
              <w:rPr>
                <w:rFonts w:cs="Times New Roman"/>
                <w:bCs w:val="0"/>
                <w:color w:val="FFFFFF"/>
                <w:szCs w:val="22"/>
              </w:rPr>
              <w:t>e 60 percent low</w:t>
            </w:r>
          </w:p>
        </w:tc>
        <w:tc>
          <w:tcPr>
            <w:tcW w:w="700" w:type="pct"/>
            <w:tcBorders>
              <w:bottom w:val="single" w:sz="12" w:space="0" w:color="FFFFFF"/>
            </w:tcBorders>
            <w:shd w:val="clear" w:color="auto" w:fill="106CB5"/>
            <w:vAlign w:val="center"/>
            <w:hideMark/>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18" w:type="pct"/>
            <w:tcBorders>
              <w:bottom w:val="single" w:sz="12" w:space="0" w:color="FFFFFF"/>
            </w:tcBorders>
            <w:shd w:val="clear" w:color="auto" w:fill="106CB5"/>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0E2EFB" w:rsidTr="000E2E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rPr>
                <w:rFonts w:cs="Times New Roman"/>
                <w:szCs w:val="22"/>
              </w:rPr>
            </w:pPr>
          </w:p>
        </w:tc>
        <w:tc>
          <w:tcPr>
            <w:tcW w:w="620"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00" w:type="pct"/>
            <w:tcBorders>
              <w:top w:val="single" w:sz="12" w:space="0" w:color="FFFFFF"/>
              <w:bottom w:val="single" w:sz="2" w:space="0" w:color="106CB5"/>
            </w:tcBorders>
            <w:shd w:val="clear" w:color="auto" w:fill="FFFFFF"/>
            <w:noWrap/>
            <w:vAlign w:val="center"/>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18" w:type="pct"/>
            <w:tcBorders>
              <w:top w:val="single" w:sz="12" w:space="0" w:color="FFFFFF"/>
              <w:bottom w:val="single" w:sz="2" w:space="0" w:color="106CB5"/>
            </w:tcBorders>
            <w:shd w:val="clear" w:color="auto" w:fill="FFFFFF"/>
          </w:tcPr>
          <w:p w:rsidR="002A03C0" w:rsidRDefault="0048773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0E2EFB" w:rsidTr="000E2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shd w:val="clear" w:color="auto" w:fill="D9D9D9" w:themeFill="background1" w:themeFillShade="D9"/>
            <w:noWrap/>
            <w:vAlign w:val="center"/>
          </w:tcPr>
          <w:p w:rsidR="002A03C0" w:rsidRDefault="00487734">
            <w:pPr>
              <w:spacing w:before="40" w:after="40" w:line="240" w:lineRule="auto"/>
              <w:rPr>
                <w:rFonts w:cs="Times New Roman"/>
                <w:szCs w:val="22"/>
              </w:rPr>
            </w:pPr>
            <w:r>
              <w:rPr>
                <w:rFonts w:cs="Times New Roman"/>
                <w:szCs w:val="22"/>
              </w:rPr>
              <w:t>Percent endorsement (latest year)</w:t>
            </w:r>
          </w:p>
        </w:tc>
        <w:tc>
          <w:tcPr>
            <w:tcW w:w="620" w:type="pct"/>
            <w:tcBorders>
              <w:top w:val="single" w:sz="2" w:space="0" w:color="106CB5"/>
              <w:bottom w:val="single" w:sz="2" w:space="0" w:color="106CB5"/>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92.1</w:t>
            </w:r>
          </w:p>
        </w:tc>
        <w:tc>
          <w:tcPr>
            <w:tcW w:w="620" w:type="pct"/>
            <w:tcBorders>
              <w:top w:val="single" w:sz="2" w:space="0" w:color="106CB5"/>
              <w:bottom w:val="single" w:sz="2" w:space="0" w:color="106CB5"/>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81.2</w:t>
            </w:r>
          </w:p>
        </w:tc>
        <w:tc>
          <w:tcPr>
            <w:tcW w:w="620" w:type="pct"/>
            <w:tcBorders>
              <w:top w:val="single" w:sz="2" w:space="0" w:color="106CB5"/>
              <w:bottom w:val="single" w:sz="2" w:space="0" w:color="106CB5"/>
            </w:tcBorders>
            <w:shd w:val="clear" w:color="auto" w:fill="D9D9D9" w:themeFill="background1" w:themeFillShade="D9"/>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72.2</w:t>
            </w:r>
          </w:p>
        </w:tc>
        <w:tc>
          <w:tcPr>
            <w:tcW w:w="700" w:type="pct"/>
            <w:tcBorders>
              <w:top w:val="single" w:sz="2" w:space="0" w:color="106CB5"/>
              <w:bottom w:val="single" w:sz="2" w:space="0" w:color="106CB5"/>
            </w:tcBorders>
            <w:shd w:val="clear" w:color="auto" w:fill="D9D9D9" w:themeFill="background1" w:themeFillShade="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 xml:space="preserve"> 90.3</w:t>
            </w:r>
          </w:p>
        </w:tc>
        <w:tc>
          <w:tcPr>
            <w:tcW w:w="618" w:type="pct"/>
            <w:tcBorders>
              <w:top w:val="single" w:sz="2" w:space="0" w:color="106CB5"/>
              <w:bottom w:val="single" w:sz="2" w:space="0" w:color="106CB5"/>
            </w:tcBorders>
            <w:shd w:val="clear" w:color="auto" w:fill="D9D9D9" w:themeFill="background1" w:themeFillShade="D9"/>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Higher</w:t>
            </w:r>
          </w:p>
        </w:tc>
      </w:tr>
      <w:tr w:rsidR="000E2EFB" w:rsidTr="000E2EFB">
        <w:tblPrEx>
          <w:jc w:val="left"/>
        </w:tblPrEx>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noWrap/>
          </w:tcPr>
          <w:p w:rsidR="002A03C0" w:rsidRDefault="00487734">
            <w:pPr>
              <w:spacing w:before="40" w:after="40" w:line="240" w:lineRule="auto"/>
              <w:rPr>
                <w:rFonts w:cs="Times New Roman"/>
                <w:szCs w:val="22"/>
              </w:rPr>
            </w:pPr>
            <w:r>
              <w:rPr>
                <w:rFonts w:cs="Times New Roman"/>
                <w:szCs w:val="22"/>
              </w:rPr>
              <w:t>Percent endorsement (2 year average)</w:t>
            </w:r>
          </w:p>
        </w:tc>
        <w:tc>
          <w:tcPr>
            <w:tcW w:w="620" w:type="pct"/>
            <w:tcBorders>
              <w:top w:val="single" w:sz="2" w:space="0" w:color="106CB5"/>
              <w:bottom w:val="single" w:sz="2" w:space="0" w:color="106CB5"/>
            </w:tcBorders>
            <w:noWrap/>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 xml:space="preserve"> 86.0</w:t>
            </w:r>
          </w:p>
        </w:tc>
        <w:tc>
          <w:tcPr>
            <w:tcW w:w="620" w:type="pct"/>
            <w:tcBorders>
              <w:top w:val="single" w:sz="2" w:space="0" w:color="106CB5"/>
              <w:bottom w:val="single" w:sz="2" w:space="0" w:color="106CB5"/>
            </w:tcBorders>
            <w:noWrap/>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 xml:space="preserve"> 81.8</w:t>
            </w:r>
          </w:p>
        </w:tc>
        <w:tc>
          <w:tcPr>
            <w:tcW w:w="620" w:type="pct"/>
            <w:tcBorders>
              <w:top w:val="single" w:sz="2" w:space="0" w:color="106CB5"/>
              <w:bottom w:val="single" w:sz="2" w:space="0" w:color="106CB5"/>
            </w:tcBorders>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 xml:space="preserve"> 73.7</w:t>
            </w:r>
          </w:p>
        </w:tc>
        <w:tc>
          <w:tcPr>
            <w:tcW w:w="700" w:type="pct"/>
            <w:tcBorders>
              <w:top w:val="single" w:sz="2" w:space="0" w:color="106CB5"/>
              <w:bottom w:val="single" w:sz="2" w:space="0" w:color="106CB5"/>
            </w:tcBorders>
            <w:noWrap/>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 xml:space="preserve"> 89.7</w:t>
            </w:r>
          </w:p>
        </w:tc>
        <w:tc>
          <w:tcPr>
            <w:tcW w:w="618" w:type="pct"/>
            <w:tcBorders>
              <w:top w:val="single" w:sz="2" w:space="0" w:color="106CB5"/>
              <w:bottom w:val="single" w:sz="2" w:space="0" w:color="106CB5"/>
            </w:tcBorders>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Similar</w:t>
            </w:r>
          </w:p>
        </w:tc>
      </w:tr>
    </w:tbl>
    <w:p w:rsidR="002A03C0" w:rsidRDefault="00487734">
      <w:pPr>
        <w:spacing w:after="0" w:line="240" w:lineRule="auto"/>
      </w:pPr>
    </w:p>
    <w:p w:rsidR="002A03C0" w:rsidRDefault="00487734">
      <w:pPr>
        <w:spacing w:after="0" w:line="240" w:lineRule="auto"/>
      </w:pPr>
      <w:r>
        <w:br w:type="page"/>
      </w:r>
    </w:p>
    <w:p w:rsidR="002A03C0" w:rsidRDefault="00487734">
      <w:pPr>
        <w:spacing w:after="0" w:line="240" w:lineRule="auto"/>
        <w:jc w:val="center"/>
        <w:rPr>
          <w:rFonts w:eastAsia="MS Gothic" w:cs="Times New Roman"/>
          <w:b/>
          <w:spacing w:val="5"/>
          <w:kern w:val="28"/>
          <w:sz w:val="44"/>
          <w:szCs w:val="52"/>
        </w:rPr>
      </w:pPr>
      <w:r>
        <w:rPr>
          <w:rFonts w:eastAsia="MS Gothic" w:cs="Times New Roman"/>
          <w:b/>
          <w:spacing w:val="5"/>
          <w:kern w:val="28"/>
          <w:sz w:val="44"/>
          <w:szCs w:val="52"/>
        </w:rPr>
        <w:t xml:space="preserve">Financial Performance </w:t>
      </w:r>
      <w:r>
        <w:rPr>
          <w:rFonts w:eastAsia="MS Gothic" w:cs="Times New Roman"/>
          <w:b/>
          <w:spacing w:val="5"/>
          <w:kern w:val="28"/>
          <w:sz w:val="44"/>
          <w:szCs w:val="52"/>
        </w:rPr>
        <w:t>and Position</w:t>
      </w:r>
    </w:p>
    <w:p w:rsidR="002A03C0" w:rsidRDefault="00487734">
      <w:pPr>
        <w:keepNext/>
        <w:keepLines/>
        <w:spacing w:before="36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Performance - Operating Statement</w:t>
      </w:r>
      <w:r>
        <w:rPr>
          <w:rFonts w:eastAsia="MS Gothic" w:cs="Times New Roman"/>
          <w:b/>
          <w:bCs/>
          <w:caps/>
          <w:color w:val="00008B"/>
          <w:sz w:val="20"/>
          <w:szCs w:val="20"/>
          <w:u w:val="single"/>
        </w:rPr>
        <w:t xml:space="preserve"> </w:t>
      </w:r>
      <w:r>
        <w:rPr>
          <w:rFonts w:eastAsia="MS Gothic" w:cs="Times New Roman"/>
          <w:b/>
          <w:bCs/>
          <w:caps/>
          <w:color w:val="00008B"/>
          <w:sz w:val="20"/>
          <w:szCs w:val="20"/>
          <w:u w:val="single"/>
        </w:rPr>
        <w:t>Summary for the year ending 31 December, 2018</w:t>
      </w:r>
    </w:p>
    <w:tbl>
      <w:tblPr>
        <w:tblStyle w:val="GridTable2-Accent6121"/>
        <w:tblW w:w="2876" w:type="pct"/>
        <w:jc w:val="center"/>
        <w:tblLook w:val="04A0" w:firstRow="1" w:lastRow="0" w:firstColumn="1" w:lastColumn="0" w:noHBand="0" w:noVBand="1"/>
        <w:tblCaption w:val="FInance - Revenue Table"/>
      </w:tblPr>
      <w:tblGrid>
        <w:gridCol w:w="4428"/>
        <w:gridCol w:w="1765"/>
      </w:tblGrid>
      <w:tr w:rsidR="000E2EFB" w:rsidTr="000E2EFB">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106CB5"/>
            <w:vAlign w:val="center"/>
            <w:hideMark/>
          </w:tcPr>
          <w:p w:rsidR="002A03C0" w:rsidRDefault="00487734">
            <w:pPr>
              <w:spacing w:before="40" w:after="40" w:line="240" w:lineRule="auto"/>
              <w:rPr>
                <w:rFonts w:eastAsia="MS Mincho" w:cs="Times New Roman"/>
                <w:color w:val="FFFFFF"/>
                <w:szCs w:val="22"/>
              </w:rPr>
            </w:pPr>
            <w:r>
              <w:rPr>
                <w:rFonts w:eastAsia="MS Mincho" w:cs="Times New Roman"/>
                <w:b w:val="0"/>
                <w:color w:val="FFFFFF"/>
                <w:szCs w:val="22"/>
              </w:rPr>
              <w:t>Revenue</w:t>
            </w:r>
          </w:p>
        </w:tc>
        <w:tc>
          <w:tcPr>
            <w:tcW w:w="1425" w:type="pct"/>
            <w:shd w:val="clear" w:color="auto" w:fill="106CB5"/>
            <w:vAlign w:val="center"/>
            <w:hideMark/>
          </w:tcPr>
          <w:p w:rsidR="002A03C0" w:rsidRDefault="0048773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eastAsia="MS Mincho" w:cs="Times New Roman"/>
                <w:b w:val="0"/>
                <w:color w:val="FFFFFF"/>
                <w:szCs w:val="22"/>
              </w:rPr>
              <w:t>Actual</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12" w:space="0" w:color="FFFFFF"/>
              <w:bottom w:val="nil"/>
              <w:right w:val="single" w:sz="4" w:space="0" w:color="FFFFFF"/>
            </w:tcBorders>
            <w:shd w:val="clear" w:color="auto" w:fill="D9D9D9"/>
            <w:noWrap/>
            <w:vAlign w:val="center"/>
            <w:hideMark/>
          </w:tcPr>
          <w:p w:rsidR="002A03C0" w:rsidRDefault="00487734">
            <w:pPr>
              <w:spacing w:before="40" w:after="40" w:line="240" w:lineRule="auto"/>
              <w:rPr>
                <w:rFonts w:eastAsia="MS Mincho" w:cs="Times New Roman"/>
                <w:szCs w:val="22"/>
              </w:rPr>
            </w:pPr>
            <w:r>
              <w:rPr>
                <w:rFonts w:eastAsia="MS Mincho" w:cs="Times New Roman"/>
                <w:b w:val="0"/>
                <w:szCs w:val="22"/>
              </w:rPr>
              <w:t>Student Resource Package</w:t>
            </w:r>
          </w:p>
        </w:tc>
        <w:tc>
          <w:tcPr>
            <w:tcW w:w="1425" w:type="pct"/>
            <w:tcBorders>
              <w:top w:val="single" w:sz="12" w:space="0" w:color="FFFFFF"/>
              <w:left w:val="single" w:sz="4" w:space="0" w:color="FFFFFF"/>
              <w:bottom w:val="nil"/>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$1,347,896</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2A03C0" w:rsidRDefault="00487734">
            <w:pPr>
              <w:spacing w:before="40" w:after="40" w:line="240" w:lineRule="auto"/>
              <w:rPr>
                <w:rFonts w:eastAsia="MS Mincho" w:cs="Times New Roman"/>
                <w:szCs w:val="22"/>
              </w:rPr>
            </w:pPr>
            <w:r>
              <w:rPr>
                <w:rFonts w:eastAsia="MS Mincho" w:cs="Times New Roman"/>
                <w:b w:val="0"/>
                <w:szCs w:val="22"/>
              </w:rPr>
              <w:t>Government Provided DET Grants</w:t>
            </w:r>
          </w:p>
        </w:tc>
        <w:tc>
          <w:tcPr>
            <w:tcW w:w="1425" w:type="pct"/>
            <w:tcBorders>
              <w:top w:val="nil"/>
              <w:left w:val="single" w:sz="4" w:space="0" w:color="FFFFFF"/>
              <w:bottom w:val="nil"/>
            </w:tcBorders>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$247,596</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2A03C0" w:rsidRDefault="00487734">
            <w:pPr>
              <w:spacing w:before="40" w:after="40" w:line="240" w:lineRule="auto"/>
              <w:rPr>
                <w:rFonts w:eastAsia="MS Mincho" w:cs="Times New Roman"/>
                <w:szCs w:val="22"/>
              </w:rPr>
            </w:pPr>
            <w:r>
              <w:rPr>
                <w:rFonts w:eastAsia="MS Mincho" w:cs="Times New Roman"/>
                <w:b w:val="0"/>
                <w:szCs w:val="22"/>
              </w:rPr>
              <w:t>Government Grants Commonwealth</w:t>
            </w:r>
          </w:p>
        </w:tc>
        <w:tc>
          <w:tcPr>
            <w:tcW w:w="1425" w:type="pct"/>
            <w:tcBorders>
              <w:top w:val="nil"/>
              <w:left w:val="single" w:sz="4" w:space="0" w:color="FFFFFF"/>
              <w:bottom w:val="nil"/>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$5,900</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2A03C0" w:rsidRDefault="00487734">
            <w:pPr>
              <w:spacing w:before="40" w:after="40" w:line="240" w:lineRule="auto"/>
              <w:rPr>
                <w:rFonts w:eastAsia="MS Mincho" w:cs="Times New Roman"/>
                <w:szCs w:val="22"/>
              </w:rPr>
            </w:pPr>
            <w:r>
              <w:rPr>
                <w:rFonts w:eastAsia="MS Mincho" w:cs="Times New Roman"/>
                <w:b w:val="0"/>
                <w:szCs w:val="22"/>
              </w:rPr>
              <w:t xml:space="preserve">Government Grants </w:t>
            </w:r>
            <w:r>
              <w:rPr>
                <w:rFonts w:eastAsia="MS Mincho" w:cs="Times New Roman"/>
                <w:b w:val="0"/>
                <w:szCs w:val="22"/>
              </w:rPr>
              <w:t>State</w:t>
            </w:r>
          </w:p>
        </w:tc>
        <w:tc>
          <w:tcPr>
            <w:tcW w:w="1425" w:type="pct"/>
            <w:tcBorders>
              <w:top w:val="nil"/>
              <w:left w:val="single" w:sz="4" w:space="0" w:color="FFFFFF"/>
              <w:bottom w:val="nil"/>
            </w:tcBorders>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$13,245</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2A03C0" w:rsidRDefault="00487734">
            <w:pPr>
              <w:spacing w:before="40" w:after="40" w:line="240" w:lineRule="auto"/>
              <w:rPr>
                <w:rFonts w:eastAsia="MS Mincho" w:cs="Times New Roman"/>
                <w:szCs w:val="22"/>
              </w:rPr>
            </w:pPr>
            <w:r>
              <w:rPr>
                <w:rFonts w:eastAsia="MS Mincho" w:cs="Times New Roman"/>
                <w:b w:val="0"/>
                <w:szCs w:val="22"/>
              </w:rPr>
              <w:t>Revenue Other</w:t>
            </w:r>
          </w:p>
        </w:tc>
        <w:tc>
          <w:tcPr>
            <w:tcW w:w="1425" w:type="pct"/>
            <w:tcBorders>
              <w:top w:val="nil"/>
              <w:left w:val="single" w:sz="4" w:space="0" w:color="FFFFFF"/>
              <w:bottom w:val="nil"/>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$11,203</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2" w:space="0" w:color="106CB5"/>
              <w:right w:val="nil"/>
            </w:tcBorders>
            <w:shd w:val="clear" w:color="auto" w:fill="auto"/>
            <w:noWrap/>
            <w:vAlign w:val="center"/>
          </w:tcPr>
          <w:p w:rsidR="002A03C0" w:rsidRDefault="00487734">
            <w:pPr>
              <w:spacing w:before="40" w:after="40" w:line="240" w:lineRule="auto"/>
              <w:rPr>
                <w:rFonts w:eastAsia="MS Mincho" w:cs="Times New Roman"/>
                <w:szCs w:val="22"/>
              </w:rPr>
            </w:pPr>
            <w:r>
              <w:rPr>
                <w:rFonts w:eastAsia="MS Mincho" w:cs="Times New Roman"/>
                <w:b w:val="0"/>
                <w:szCs w:val="22"/>
              </w:rPr>
              <w:t>Locally Raised Funds</w:t>
            </w:r>
          </w:p>
        </w:tc>
        <w:tc>
          <w:tcPr>
            <w:tcW w:w="1425" w:type="pct"/>
            <w:tcBorders>
              <w:top w:val="nil"/>
              <w:left w:val="nil"/>
              <w:bottom w:val="single" w:sz="2" w:space="0" w:color="106CB5"/>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$136,886</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2" w:space="0" w:color="106CB5"/>
              <w:bottom w:val="single" w:sz="2" w:space="0" w:color="106CB5"/>
            </w:tcBorders>
            <w:noWrap/>
            <w:vAlign w:val="center"/>
            <w:hideMark/>
          </w:tcPr>
          <w:p w:rsidR="002A03C0" w:rsidRDefault="00487734">
            <w:pPr>
              <w:spacing w:before="40" w:after="40" w:line="240" w:lineRule="auto"/>
              <w:rPr>
                <w:rFonts w:eastAsia="MS Mincho" w:cs="Times New Roman"/>
                <w:szCs w:val="22"/>
              </w:rPr>
            </w:pPr>
            <w:r>
              <w:rPr>
                <w:rFonts w:eastAsia="MS Mincho" w:cs="Times New Roman"/>
                <w:szCs w:val="22"/>
              </w:rPr>
              <w:t>Total Operating Revenue</w:t>
            </w:r>
          </w:p>
        </w:tc>
        <w:tc>
          <w:tcPr>
            <w:tcW w:w="1425" w:type="pct"/>
            <w:tcBorders>
              <w:top w:val="single" w:sz="2" w:space="0" w:color="106CB5"/>
              <w:bottom w:val="single" w:sz="2" w:space="0" w:color="106CB5"/>
            </w:tcBorders>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$1,762,726</w:t>
            </w:r>
          </w:p>
        </w:tc>
      </w:tr>
    </w:tbl>
    <w:p w:rsidR="002A03C0" w:rsidRDefault="00487734">
      <w:pPr>
        <w:spacing w:after="0" w:line="240" w:lineRule="auto"/>
        <w:rPr>
          <w:rFonts w:eastAsia="MS Mincho"/>
        </w:rPr>
      </w:pPr>
    </w:p>
    <w:tbl>
      <w:tblPr>
        <w:tblStyle w:val="GridTable2-Accent6121"/>
        <w:tblW w:w="2876" w:type="pct"/>
        <w:jc w:val="center"/>
        <w:tblLook w:val="04A0" w:firstRow="1" w:lastRow="0" w:firstColumn="1" w:lastColumn="0" w:noHBand="0" w:noVBand="1"/>
        <w:tblCaption w:val="FInance - Equity Table"/>
      </w:tblPr>
      <w:tblGrid>
        <w:gridCol w:w="4428"/>
        <w:gridCol w:w="1765"/>
      </w:tblGrid>
      <w:tr w:rsidR="000E2EFB" w:rsidTr="000E2EF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noWrap/>
            <w:vAlign w:val="center"/>
          </w:tcPr>
          <w:p w:rsidR="002A03C0" w:rsidRDefault="00487734">
            <w:pPr>
              <w:spacing w:before="40" w:after="40" w:line="240" w:lineRule="auto"/>
              <w:rPr>
                <w:rFonts w:eastAsia="MS Mincho" w:cs="Times New Roman"/>
                <w:color w:val="FFFFFF"/>
                <w:szCs w:val="22"/>
              </w:rPr>
            </w:pPr>
            <w:r>
              <w:rPr>
                <w:rFonts w:cs="Times New Roman"/>
                <w:b w:val="0"/>
                <w:color w:val="FFFFFF"/>
                <w:szCs w:val="22"/>
              </w:rPr>
              <w:t xml:space="preserve">Equity </w:t>
            </w:r>
            <w:r>
              <w:rPr>
                <w:rFonts w:cs="Times New Roman"/>
                <w:b w:val="0"/>
                <w:color w:val="FFFFFF"/>
                <w:szCs w:val="22"/>
                <w:vertAlign w:val="superscript"/>
              </w:rPr>
              <w:t>1</w:t>
            </w:r>
          </w:p>
        </w:tc>
        <w:tc>
          <w:tcPr>
            <w:tcW w:w="1772" w:type="pct"/>
            <w:shd w:val="clear" w:color="auto" w:fill="106CB5"/>
            <w:noWrap/>
            <w:vAlign w:val="center"/>
          </w:tcPr>
          <w:p w:rsidR="002A03C0" w:rsidRDefault="0048773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cs="Times New Roman"/>
                <w:b w:val="0"/>
                <w:color w:val="FFFFFF"/>
                <w:szCs w:val="22"/>
              </w:rPr>
              <w:t>Actual</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tcBorders>
            <w:shd w:val="clear" w:color="auto" w:fill="D9D9D9"/>
            <w:noWrap/>
            <w:vAlign w:val="center"/>
          </w:tcPr>
          <w:p w:rsidR="002A03C0" w:rsidRDefault="00487734">
            <w:pPr>
              <w:spacing w:before="40" w:after="40" w:line="240" w:lineRule="auto"/>
              <w:rPr>
                <w:rFonts w:eastAsia="MS Mincho" w:cs="Times New Roman"/>
                <w:szCs w:val="22"/>
              </w:rPr>
            </w:pPr>
            <w:r>
              <w:rPr>
                <w:rFonts w:cs="Times New Roman"/>
                <w:b w:val="0"/>
                <w:szCs w:val="22"/>
              </w:rPr>
              <w:t>Equity (Social Disadvantage)</w:t>
            </w:r>
          </w:p>
        </w:tc>
        <w:tc>
          <w:tcPr>
            <w:tcW w:w="1772" w:type="pct"/>
            <w:tcBorders>
              <w:top w:val="single" w:sz="12" w:space="0" w:color="FFFFFF"/>
              <w:bottom w:val="nil"/>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$18,568</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auto"/>
            <w:noWrap/>
            <w:vAlign w:val="center"/>
          </w:tcPr>
          <w:p w:rsidR="002A03C0" w:rsidRDefault="00487734">
            <w:pPr>
              <w:spacing w:before="40" w:after="40" w:line="240" w:lineRule="auto"/>
              <w:rPr>
                <w:rFonts w:eastAsia="MS Mincho" w:cs="Times New Roman"/>
                <w:szCs w:val="22"/>
              </w:rPr>
            </w:pPr>
            <w:r>
              <w:rPr>
                <w:rFonts w:cs="Times New Roman"/>
                <w:b w:val="0"/>
                <w:szCs w:val="22"/>
              </w:rPr>
              <w:t>Equity (Catch Up)</w:t>
            </w:r>
          </w:p>
        </w:tc>
        <w:tc>
          <w:tcPr>
            <w:tcW w:w="1772" w:type="pct"/>
            <w:tcBorders>
              <w:top w:val="nil"/>
              <w:left w:val="nil"/>
              <w:bottom w:val="nil"/>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$0</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tcBorders>
            <w:shd w:val="clear" w:color="auto" w:fill="D9D9D9"/>
            <w:noWrap/>
            <w:vAlign w:val="center"/>
          </w:tcPr>
          <w:p w:rsidR="002A03C0" w:rsidRDefault="00487734">
            <w:pPr>
              <w:spacing w:before="40" w:after="40" w:line="240" w:lineRule="auto"/>
              <w:rPr>
                <w:rFonts w:eastAsia="MS Mincho" w:cs="Times New Roman"/>
                <w:szCs w:val="22"/>
              </w:rPr>
            </w:pPr>
            <w:r>
              <w:rPr>
                <w:rFonts w:cs="Times New Roman"/>
                <w:b w:val="0"/>
                <w:szCs w:val="22"/>
              </w:rPr>
              <w:t>Transition Funding</w:t>
            </w:r>
          </w:p>
        </w:tc>
        <w:tc>
          <w:tcPr>
            <w:tcW w:w="1772" w:type="pct"/>
            <w:tcBorders>
              <w:top w:val="nil"/>
              <w:bottom w:val="nil"/>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$0</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tcBorders>
            <w:shd w:val="clear" w:color="auto" w:fill="auto"/>
            <w:noWrap/>
            <w:vAlign w:val="center"/>
          </w:tcPr>
          <w:p w:rsidR="002A03C0" w:rsidRDefault="00487734">
            <w:pPr>
              <w:spacing w:before="40" w:after="40"/>
              <w:rPr>
                <w:rFonts w:cs="Times New Roman"/>
                <w:szCs w:val="22"/>
              </w:rPr>
            </w:pPr>
            <w:r>
              <w:rPr>
                <w:rFonts w:cs="Times New Roman"/>
                <w:b w:val="0"/>
                <w:szCs w:val="22"/>
              </w:rPr>
              <w:t xml:space="preserve">Equity (Social Disadvantage – Extraordinary </w:t>
            </w:r>
            <w:r>
              <w:rPr>
                <w:rFonts w:cs="Times New Roman"/>
                <w:b w:val="0"/>
                <w:szCs w:val="22"/>
              </w:rPr>
              <w:t>Growth)</w:t>
            </w:r>
          </w:p>
          <w:p w:rsidR="002A03C0" w:rsidRDefault="00487734">
            <w:pPr>
              <w:spacing w:before="40" w:after="40" w:line="240" w:lineRule="auto"/>
              <w:rPr>
                <w:rFonts w:eastAsia="MS Mincho" w:cs="Times New Roman"/>
                <w:color w:val="FFFFFF"/>
                <w:szCs w:val="22"/>
              </w:rPr>
            </w:pPr>
          </w:p>
        </w:tc>
        <w:tc>
          <w:tcPr>
            <w:tcW w:w="1772" w:type="pct"/>
            <w:tcBorders>
              <w:top w:val="nil"/>
              <w:bottom w:val="single" w:sz="2" w:space="0" w:color="106CB5"/>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$0</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shd w:val="clear" w:color="auto" w:fill="auto"/>
            <w:noWrap/>
            <w:vAlign w:val="center"/>
          </w:tcPr>
          <w:p w:rsidR="002A03C0" w:rsidRDefault="00487734">
            <w:pPr>
              <w:spacing w:before="40" w:after="40"/>
              <w:rPr>
                <w:rFonts w:cs="Times New Roman"/>
                <w:szCs w:val="22"/>
              </w:rPr>
            </w:pPr>
            <w:r>
              <w:rPr>
                <w:rFonts w:cs="Times New Roman"/>
                <w:szCs w:val="22"/>
              </w:rPr>
              <w:t>Equity Total</w:t>
            </w:r>
          </w:p>
        </w:tc>
        <w:tc>
          <w:tcPr>
            <w:tcW w:w="1772" w:type="pct"/>
            <w:tcBorders>
              <w:top w:val="single" w:sz="2" w:space="0" w:color="106CB5"/>
              <w:bottom w:val="single" w:sz="2" w:space="0" w:color="106CB5"/>
            </w:tcBorders>
            <w:shd w:val="clear" w:color="auto" w:fill="auto"/>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$18,568</w:t>
            </w:r>
          </w:p>
        </w:tc>
      </w:tr>
    </w:tbl>
    <w:p w:rsidR="002A03C0" w:rsidRDefault="00487734">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e - Expenditure table"/>
      </w:tblPr>
      <w:tblGrid>
        <w:gridCol w:w="3997"/>
        <w:gridCol w:w="2196"/>
      </w:tblGrid>
      <w:tr w:rsidR="000E2EFB" w:rsidTr="000E2EFB">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7" w:type="pct"/>
            <w:shd w:val="clear" w:color="auto" w:fill="106CB5"/>
            <w:vAlign w:val="center"/>
            <w:hideMark/>
          </w:tcPr>
          <w:p w:rsidR="002A03C0" w:rsidRDefault="00487734">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Expenditure</w:t>
            </w:r>
          </w:p>
        </w:tc>
        <w:tc>
          <w:tcPr>
            <w:tcW w:w="1773" w:type="pct"/>
            <w:shd w:val="clear" w:color="auto" w:fill="106CB5"/>
            <w:vAlign w:val="center"/>
            <w:hideMark/>
          </w:tcPr>
          <w:p w:rsidR="002A03C0" w:rsidRDefault="0048773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12" w:space="0" w:color="FFFFFF"/>
              <w:bottom w:val="nil"/>
              <w:right w:val="single" w:sz="4" w:space="0" w:color="FFFFFF"/>
            </w:tcBorders>
            <w:shd w:val="clear" w:color="auto" w:fill="D9D9D9"/>
            <w:noWrap/>
            <w:vAlign w:val="center"/>
            <w:hideMark/>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 xml:space="preserve">Student Resource Package </w:t>
            </w:r>
            <w:r>
              <w:rPr>
                <w:rFonts w:eastAsia="MS Mincho" w:cs="Times New Roman"/>
                <w:b w:val="0"/>
                <w:bCs w:val="0"/>
                <w:szCs w:val="22"/>
                <w:vertAlign w:val="superscript"/>
                <w:lang w:val="en-US"/>
              </w:rPr>
              <w:t>2</w:t>
            </w:r>
          </w:p>
        </w:tc>
        <w:tc>
          <w:tcPr>
            <w:tcW w:w="1773" w:type="pct"/>
            <w:tcBorders>
              <w:top w:val="single" w:sz="12" w:space="0" w:color="FFFFFF"/>
              <w:left w:val="single" w:sz="4" w:space="0" w:color="FFFFFF"/>
              <w:bottom w:val="nil"/>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$1,275,088</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noWrap/>
            <w:vAlign w:val="center"/>
            <w:hideMark/>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Adjustments</w:t>
            </w:r>
          </w:p>
        </w:tc>
        <w:tc>
          <w:tcPr>
            <w:tcW w:w="1773" w:type="pct"/>
            <w:tcBorders>
              <w:top w:val="nil"/>
              <w:left w:val="single" w:sz="4" w:space="0" w:color="FFFFFF"/>
              <w:bottom w:val="nil"/>
            </w:tcBorders>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$0</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Books &amp; Publications</w:t>
            </w:r>
          </w:p>
        </w:tc>
        <w:tc>
          <w:tcPr>
            <w:tcW w:w="1773" w:type="pct"/>
            <w:tcBorders>
              <w:top w:val="nil"/>
              <w:left w:val="single" w:sz="4" w:space="0" w:color="FFFFFF"/>
              <w:bottom w:val="nil"/>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$1,434</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Communication Costs</w:t>
            </w:r>
          </w:p>
        </w:tc>
        <w:tc>
          <w:tcPr>
            <w:tcW w:w="1773" w:type="pct"/>
            <w:tcBorders>
              <w:top w:val="nil"/>
              <w:left w:val="nil"/>
              <w:bottom w:val="nil"/>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$3,086</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Consumables</w:t>
            </w:r>
          </w:p>
        </w:tc>
        <w:tc>
          <w:tcPr>
            <w:tcW w:w="1773" w:type="pct"/>
            <w:tcBorders>
              <w:top w:val="nil"/>
              <w:left w:val="single" w:sz="4" w:space="0" w:color="FFFFFF"/>
              <w:bottom w:val="nil"/>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$50,433</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 xml:space="preserve">Miscellaneous Expense </w:t>
            </w:r>
            <w:r>
              <w:rPr>
                <w:rFonts w:eastAsia="MS Mincho" w:cs="Times New Roman"/>
                <w:b w:val="0"/>
                <w:bCs w:val="0"/>
                <w:szCs w:val="22"/>
                <w:vertAlign w:val="superscript"/>
                <w:lang w:val="en-US"/>
              </w:rPr>
              <w:t>3</w:t>
            </w:r>
          </w:p>
        </w:tc>
        <w:tc>
          <w:tcPr>
            <w:tcW w:w="1773" w:type="pct"/>
            <w:tcBorders>
              <w:top w:val="nil"/>
              <w:left w:val="nil"/>
              <w:bottom w:val="nil"/>
            </w:tcBorders>
            <w:shd w:val="clear" w:color="auto" w:fill="auto"/>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$73,895</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tcBorders>
            <w:shd w:val="clear" w:color="auto" w:fill="D9D9D9"/>
            <w:noWrap/>
            <w:vAlign w:val="center"/>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Professional Development</w:t>
            </w:r>
          </w:p>
        </w:tc>
        <w:tc>
          <w:tcPr>
            <w:tcW w:w="1773" w:type="pct"/>
            <w:tcBorders>
              <w:top w:val="nil"/>
              <w:bottom w:val="nil"/>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$9,063</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Property and Equipment Services</w:t>
            </w:r>
          </w:p>
        </w:tc>
        <w:tc>
          <w:tcPr>
            <w:tcW w:w="1773" w:type="pct"/>
            <w:tcBorders>
              <w:top w:val="nil"/>
              <w:left w:val="nil"/>
              <w:bottom w:val="nil"/>
            </w:tcBorders>
            <w:shd w:val="clear" w:color="auto" w:fill="auto"/>
            <w:noWrap/>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$103,247</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 xml:space="preserve">Salaries &amp; Allowances </w:t>
            </w:r>
            <w:r>
              <w:rPr>
                <w:rFonts w:eastAsia="MS Mincho" w:cs="Times New Roman"/>
                <w:b w:val="0"/>
                <w:bCs w:val="0"/>
                <w:szCs w:val="22"/>
                <w:vertAlign w:val="superscript"/>
                <w:lang w:val="en-US"/>
              </w:rPr>
              <w:t>4</w:t>
            </w:r>
          </w:p>
        </w:tc>
        <w:tc>
          <w:tcPr>
            <w:tcW w:w="1773" w:type="pct"/>
            <w:tcBorders>
              <w:top w:val="nil"/>
              <w:left w:val="single" w:sz="4" w:space="0" w:color="FFFFFF"/>
              <w:bottom w:val="nil"/>
            </w:tcBorders>
            <w:shd w:val="clear" w:color="auto" w:fill="DBD9D6"/>
            <w:noWrap/>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$116,376</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auto"/>
            <w:noWrap/>
            <w:vAlign w:val="center"/>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Trading &amp; Fundraising</w:t>
            </w:r>
          </w:p>
        </w:tc>
        <w:tc>
          <w:tcPr>
            <w:tcW w:w="1773" w:type="pct"/>
            <w:tcBorders>
              <w:top w:val="nil"/>
              <w:left w:val="single" w:sz="4" w:space="0" w:color="FFFFFF"/>
              <w:bottom w:val="nil"/>
            </w:tcBorders>
            <w:shd w:val="clear" w:color="auto" w:fill="auto"/>
            <w:noWrap/>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$25,680</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Travel &amp; Subsistence</w:t>
            </w:r>
          </w:p>
        </w:tc>
        <w:tc>
          <w:tcPr>
            <w:tcW w:w="1773" w:type="pct"/>
            <w:tcBorders>
              <w:top w:val="nil"/>
              <w:left w:val="single" w:sz="4" w:space="0" w:color="FFFFFF"/>
              <w:bottom w:val="nil"/>
            </w:tcBorders>
            <w:shd w:val="clear" w:color="auto" w:fill="DBD9D6"/>
            <w:noWrap/>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$0</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single" w:sz="2" w:space="0" w:color="106CB5"/>
              <w:right w:val="nil"/>
            </w:tcBorders>
            <w:shd w:val="clear" w:color="auto" w:fill="auto"/>
            <w:noWrap/>
            <w:vAlign w:val="center"/>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Utilities</w:t>
            </w:r>
          </w:p>
        </w:tc>
        <w:tc>
          <w:tcPr>
            <w:tcW w:w="1773" w:type="pct"/>
            <w:tcBorders>
              <w:top w:val="nil"/>
              <w:left w:val="nil"/>
              <w:bottom w:val="single" w:sz="2" w:space="0" w:color="106CB5"/>
            </w:tcBorders>
            <w:shd w:val="clear" w:color="auto" w:fill="auto"/>
            <w:noWrap/>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$19,230</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2A03C0" w:rsidRDefault="00487734">
            <w:pPr>
              <w:spacing w:after="0" w:line="240" w:lineRule="auto"/>
              <w:rPr>
                <w:rFonts w:eastAsia="MS Mincho" w:cs="Times New Roman"/>
                <w:szCs w:val="22"/>
                <w:lang w:val="en-US"/>
              </w:rPr>
            </w:pPr>
            <w:r>
              <w:rPr>
                <w:rFonts w:eastAsia="MS Mincho" w:cs="Times New Roman"/>
                <w:bCs w:val="0"/>
                <w:szCs w:val="22"/>
                <w:lang w:val="en-US"/>
              </w:rPr>
              <w:t>Total Operating Expenditure</w:t>
            </w:r>
          </w:p>
          <w:p w:rsidR="002A03C0" w:rsidRDefault="00487734">
            <w:pPr>
              <w:spacing w:before="40" w:after="40" w:line="240" w:lineRule="auto"/>
              <w:rPr>
                <w:rFonts w:eastAsia="MS Mincho" w:cs="Times New Roman"/>
                <w:szCs w:val="22"/>
                <w:lang w:val="en-US"/>
              </w:rPr>
            </w:pPr>
          </w:p>
        </w:tc>
        <w:tc>
          <w:tcPr>
            <w:tcW w:w="1773" w:type="pct"/>
            <w:tcBorders>
              <w:top w:val="single" w:sz="2" w:space="0" w:color="106CB5"/>
              <w:bottom w:val="single" w:sz="2" w:space="0" w:color="106CB5"/>
            </w:tcBorders>
            <w:shd w:val="clear" w:color="auto" w:fill="auto"/>
            <w:noWrap/>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$1,677,532</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2A03C0" w:rsidRDefault="00487734">
            <w:pPr>
              <w:spacing w:after="0" w:line="240" w:lineRule="auto"/>
              <w:rPr>
                <w:rFonts w:eastAsia="MS Mincho" w:cs="Times New Roman"/>
                <w:szCs w:val="22"/>
              </w:rPr>
            </w:pPr>
            <w:r>
              <w:rPr>
                <w:rFonts w:eastAsia="MS Mincho" w:cs="Times New Roman"/>
                <w:szCs w:val="22"/>
              </w:rPr>
              <w:t>Net Operating Surplus/-Deficit</w:t>
            </w:r>
          </w:p>
        </w:tc>
        <w:tc>
          <w:tcPr>
            <w:tcW w:w="1773" w:type="pct"/>
            <w:tcBorders>
              <w:top w:val="single" w:sz="2" w:space="0" w:color="106CB5"/>
              <w:bottom w:val="single" w:sz="2" w:space="0" w:color="106CB5"/>
            </w:tcBorders>
            <w:shd w:val="clear" w:color="auto" w:fill="auto"/>
            <w:noWrap/>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$85,195</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2A03C0" w:rsidRDefault="00487734">
            <w:pPr>
              <w:spacing w:after="0" w:line="240" w:lineRule="auto"/>
              <w:rPr>
                <w:rFonts w:eastAsia="MS Mincho" w:cs="Times New Roman"/>
                <w:szCs w:val="22"/>
              </w:rPr>
            </w:pPr>
            <w:r>
              <w:rPr>
                <w:rFonts w:eastAsia="MS Mincho" w:cs="Times New Roman"/>
                <w:szCs w:val="22"/>
              </w:rPr>
              <w:t>Asset Acquisitions</w:t>
            </w:r>
          </w:p>
        </w:tc>
        <w:tc>
          <w:tcPr>
            <w:tcW w:w="1773" w:type="pct"/>
            <w:tcBorders>
              <w:top w:val="single" w:sz="2" w:space="0" w:color="106CB5"/>
              <w:bottom w:val="single" w:sz="2" w:space="0" w:color="106CB5"/>
            </w:tcBorders>
            <w:shd w:val="clear" w:color="auto" w:fill="auto"/>
            <w:noWrap/>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$0</w:t>
            </w:r>
          </w:p>
        </w:tc>
      </w:tr>
    </w:tbl>
    <w:p w:rsidR="002A03C0" w:rsidRDefault="00487734">
      <w:pPr>
        <w:spacing w:after="0" w:line="240" w:lineRule="auto"/>
        <w:rPr>
          <w:rFonts w:eastAsia="MS Mincho"/>
        </w:rPr>
      </w:pPr>
    </w:p>
    <w:p w:rsidR="002A03C0" w:rsidRDefault="00487734">
      <w:pPr>
        <w:keepNext/>
        <w:keepLines/>
        <w:spacing w:before="24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Position as at 31 December, 2018</w:t>
      </w:r>
    </w:p>
    <w:tbl>
      <w:tblPr>
        <w:tblStyle w:val="GridTable2-Accent612"/>
        <w:tblW w:w="2876" w:type="pct"/>
        <w:jc w:val="center"/>
        <w:tblLook w:val="04A0" w:firstRow="1" w:lastRow="0" w:firstColumn="1" w:lastColumn="0" w:noHBand="0" w:noVBand="1"/>
        <w:tblCaption w:val="Fund available"/>
      </w:tblPr>
      <w:tblGrid>
        <w:gridCol w:w="3998"/>
        <w:gridCol w:w="2195"/>
      </w:tblGrid>
      <w:tr w:rsidR="000E2EFB" w:rsidTr="000E2EFB">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vAlign w:val="center"/>
            <w:hideMark/>
          </w:tcPr>
          <w:p w:rsidR="002A03C0" w:rsidRDefault="00487734">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Funds available</w:t>
            </w:r>
          </w:p>
        </w:tc>
        <w:tc>
          <w:tcPr>
            <w:tcW w:w="1772" w:type="pct"/>
            <w:shd w:val="clear" w:color="auto" w:fill="106CB5"/>
            <w:vAlign w:val="center"/>
            <w:hideMark/>
          </w:tcPr>
          <w:p w:rsidR="002A03C0" w:rsidRDefault="0048773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right w:val="single" w:sz="4" w:space="0" w:color="FFFFFF"/>
            </w:tcBorders>
            <w:shd w:val="clear" w:color="auto" w:fill="D9D9D9"/>
            <w:noWrap/>
            <w:vAlign w:val="center"/>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High Yield Investment Account</w:t>
            </w:r>
          </w:p>
        </w:tc>
        <w:tc>
          <w:tcPr>
            <w:tcW w:w="1772" w:type="pct"/>
            <w:tcBorders>
              <w:top w:val="single" w:sz="12" w:space="0" w:color="FFFFFF"/>
              <w:left w:val="single" w:sz="4" w:space="0" w:color="FFFFFF"/>
              <w:bottom w:val="nil"/>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$119,636</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cBorders>
            <w:noWrap/>
            <w:vAlign w:val="center"/>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Official Account</w:t>
            </w:r>
          </w:p>
        </w:tc>
        <w:tc>
          <w:tcPr>
            <w:tcW w:w="1772" w:type="pct"/>
            <w:tcBorders>
              <w:top w:val="nil"/>
              <w:left w:val="single" w:sz="4" w:space="0" w:color="FFFFFF"/>
              <w:bottom w:val="nil"/>
            </w:tcBorders>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$6,999</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right w:val="single" w:sz="4" w:space="0" w:color="FFFFFF"/>
            </w:tcBorders>
            <w:shd w:val="clear" w:color="auto" w:fill="D9D9D9"/>
            <w:noWrap/>
            <w:vAlign w:val="center"/>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Other Accounts</w:t>
            </w:r>
          </w:p>
        </w:tc>
        <w:tc>
          <w:tcPr>
            <w:tcW w:w="1772" w:type="pct"/>
            <w:tcBorders>
              <w:top w:val="nil"/>
              <w:left w:val="single" w:sz="4" w:space="0" w:color="FFFFFF"/>
              <w:bottom w:val="single" w:sz="2" w:space="0" w:color="106CB5"/>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$0</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noWrap/>
            <w:vAlign w:val="center"/>
            <w:hideMark/>
          </w:tcPr>
          <w:p w:rsidR="002A03C0" w:rsidRDefault="00487734">
            <w:pPr>
              <w:spacing w:before="40" w:after="40" w:line="240" w:lineRule="auto"/>
              <w:rPr>
                <w:rFonts w:eastAsia="MS Mincho" w:cs="Times New Roman"/>
                <w:szCs w:val="22"/>
                <w:lang w:val="en-US"/>
              </w:rPr>
            </w:pPr>
            <w:r>
              <w:rPr>
                <w:rFonts w:eastAsia="MS Mincho" w:cs="Times New Roman"/>
                <w:bCs w:val="0"/>
                <w:szCs w:val="22"/>
                <w:lang w:val="en-US"/>
              </w:rPr>
              <w:t>Total Funds Available</w:t>
            </w:r>
          </w:p>
        </w:tc>
        <w:tc>
          <w:tcPr>
            <w:tcW w:w="1772" w:type="pct"/>
            <w:tcBorders>
              <w:top w:val="single" w:sz="2" w:space="0" w:color="106CB5"/>
              <w:bottom w:val="single" w:sz="2" w:space="0" w:color="106CB5"/>
            </w:tcBorders>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$126,635</w:t>
            </w:r>
          </w:p>
        </w:tc>
      </w:tr>
    </w:tbl>
    <w:p w:rsidR="002A03C0" w:rsidRDefault="00487734">
      <w:pPr>
        <w:spacing w:after="0" w:line="240" w:lineRule="auto"/>
        <w:rPr>
          <w:rFonts w:eastAsia="MS Mincho"/>
        </w:rPr>
      </w:pPr>
      <w:r>
        <w:rPr>
          <w:rFonts w:eastAsia="MS Mincho"/>
        </w:rPr>
        <w:br w:type="page"/>
      </w:r>
    </w:p>
    <w:p w:rsidR="002A03C0" w:rsidRDefault="00487734">
      <w:pPr>
        <w:spacing w:after="0" w:line="240" w:lineRule="auto"/>
        <w:rPr>
          <w:rFonts w:eastAsia="MS Mincho"/>
        </w:rPr>
      </w:pPr>
    </w:p>
    <w:p w:rsidR="002A03C0" w:rsidRDefault="00487734">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ial Commitments"/>
      </w:tblPr>
      <w:tblGrid>
        <w:gridCol w:w="4584"/>
        <w:gridCol w:w="1609"/>
      </w:tblGrid>
      <w:tr w:rsidR="000E2EFB" w:rsidTr="000E2EFB">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701" w:type="pct"/>
            <w:shd w:val="clear" w:color="auto" w:fill="106CB5"/>
            <w:vAlign w:val="center"/>
            <w:hideMark/>
          </w:tcPr>
          <w:p w:rsidR="002A03C0" w:rsidRDefault="00487734">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Financial Commitments</w:t>
            </w:r>
          </w:p>
        </w:tc>
        <w:tc>
          <w:tcPr>
            <w:tcW w:w="1299" w:type="pct"/>
            <w:shd w:val="clear" w:color="auto" w:fill="106CB5"/>
            <w:vAlign w:val="center"/>
            <w:hideMark/>
          </w:tcPr>
          <w:p w:rsidR="002A03C0" w:rsidRDefault="0048773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12" w:space="0" w:color="FFFFFF"/>
              <w:bottom w:val="nil"/>
              <w:right w:val="single" w:sz="4" w:space="0" w:color="FFFFFF"/>
            </w:tcBorders>
            <w:shd w:val="clear" w:color="auto" w:fill="D9D9D9"/>
            <w:noWrap/>
            <w:vAlign w:val="center"/>
            <w:hideMark/>
          </w:tcPr>
          <w:p w:rsidR="002A03C0" w:rsidRDefault="00487734">
            <w:pPr>
              <w:spacing w:before="40" w:after="40" w:line="240" w:lineRule="auto"/>
              <w:rPr>
                <w:rFonts w:eastAsia="MS Mincho" w:cs="Times New Roman"/>
                <w:szCs w:val="22"/>
                <w:lang w:val="en-US"/>
              </w:rPr>
            </w:pPr>
            <w:r>
              <w:rPr>
                <w:rFonts w:eastAsia="MS Mincho" w:cs="Times New Roman"/>
                <w:b w:val="0"/>
                <w:bCs w:val="0"/>
                <w:szCs w:val="22"/>
                <w:lang w:val="en-US"/>
              </w:rPr>
              <w:t>Operating Reserve</w:t>
            </w:r>
          </w:p>
        </w:tc>
        <w:tc>
          <w:tcPr>
            <w:tcW w:w="1299" w:type="pct"/>
            <w:tcBorders>
              <w:top w:val="single" w:sz="12" w:space="0" w:color="FFFFFF"/>
              <w:left w:val="single" w:sz="4" w:space="0" w:color="FFFFFF"/>
              <w:bottom w:val="nil"/>
            </w:tcBorders>
            <w:shd w:val="clear" w:color="auto" w:fill="D9D9D9"/>
            <w:noWrap/>
            <w:vAlign w:val="center"/>
          </w:tcPr>
          <w:p w:rsidR="002A03C0" w:rsidRDefault="00487734">
            <w:pPr>
              <w:jc w:val="right"/>
              <w:cnfStyle w:val="000000100000" w:firstRow="0" w:lastRow="0" w:firstColumn="0" w:lastColumn="0" w:oddVBand="0" w:evenVBand="0" w:oddHBand="1" w:evenHBand="0" w:firstRowFirstColumn="0" w:firstRowLastColumn="0" w:lastRowFirstColumn="0" w:lastRowLastColumn="0"/>
            </w:pPr>
            <w:r>
              <w:t>$57,102</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487734" w:rsidP="00A55600">
            <w:pPr>
              <w:spacing w:before="40" w:after="40" w:line="240" w:lineRule="auto"/>
              <w:rPr>
                <w:rFonts w:eastAsia="MS Mincho" w:cs="Times New Roman"/>
                <w:szCs w:val="22"/>
                <w:lang w:val="en-US"/>
              </w:rPr>
            </w:pPr>
            <w:r w:rsidRPr="0079002D">
              <w:rPr>
                <w:b w:val="0"/>
                <w:lang w:val="en-US"/>
              </w:rPr>
              <w:t xml:space="preserve">Other </w:t>
            </w:r>
            <w:r w:rsidRPr="0079002D">
              <w:rPr>
                <w:b w:val="0"/>
                <w:lang w:val="en-US"/>
              </w:rPr>
              <w:t>Recurrent Expenditure</w:t>
            </w:r>
          </w:p>
        </w:tc>
        <w:tc>
          <w:tcPr>
            <w:tcW w:w="1299" w:type="pct"/>
            <w:tcBorders>
              <w:top w:val="nil"/>
              <w:left w:val="single" w:sz="4" w:space="0" w:color="FFFFFF"/>
              <w:bottom w:val="nil"/>
            </w:tcBorders>
            <w:noWrap/>
            <w:vAlign w:val="center"/>
          </w:tcPr>
          <w:p w:rsidR="00A55600" w:rsidRDefault="00487734" w:rsidP="00A55600">
            <w:pPr>
              <w:jc w:val="right"/>
              <w:cnfStyle w:val="000000000000" w:firstRow="0" w:lastRow="0" w:firstColumn="0" w:lastColumn="0" w:oddVBand="0" w:evenVBand="0" w:oddHBand="0" w:evenHBand="0" w:firstRowFirstColumn="0" w:firstRowLastColumn="0" w:lastRowFirstColumn="0" w:lastRowLastColumn="0"/>
            </w:pPr>
            <w:r>
              <w:t>$8,170</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487734" w:rsidP="00A55600">
            <w:pPr>
              <w:spacing w:before="40" w:after="40" w:line="240" w:lineRule="auto"/>
              <w:rPr>
                <w:rFonts w:eastAsia="MS Mincho" w:cs="Times New Roman"/>
                <w:szCs w:val="22"/>
                <w:lang w:val="en-US"/>
              </w:rPr>
            </w:pPr>
            <w:r w:rsidRPr="0079002D">
              <w:rPr>
                <w:b w:val="0"/>
                <w:lang w:val="en-US"/>
              </w:rPr>
              <w:t>Provision Accounts</w:t>
            </w:r>
          </w:p>
        </w:tc>
        <w:tc>
          <w:tcPr>
            <w:tcW w:w="1299" w:type="pct"/>
            <w:tcBorders>
              <w:top w:val="nil"/>
              <w:left w:val="single" w:sz="4" w:space="0" w:color="FFFFFF"/>
              <w:bottom w:val="nil"/>
            </w:tcBorders>
            <w:shd w:val="clear" w:color="auto" w:fill="D9D9D9"/>
            <w:noWrap/>
            <w:vAlign w:val="center"/>
          </w:tcPr>
          <w:p w:rsidR="00A55600" w:rsidRDefault="00487734"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A55600" w:rsidRDefault="00487734" w:rsidP="00A55600">
            <w:pPr>
              <w:spacing w:before="40" w:after="40" w:line="240" w:lineRule="auto"/>
              <w:rPr>
                <w:rFonts w:eastAsia="MS Mincho" w:cs="Times New Roman"/>
                <w:szCs w:val="22"/>
                <w:lang w:val="en-US"/>
              </w:rPr>
            </w:pPr>
            <w:r w:rsidRPr="0079002D">
              <w:rPr>
                <w:b w:val="0"/>
                <w:lang w:val="en-US"/>
              </w:rPr>
              <w:t>Funds Received in Advance</w:t>
            </w:r>
          </w:p>
        </w:tc>
        <w:tc>
          <w:tcPr>
            <w:tcW w:w="1299" w:type="pct"/>
            <w:tcBorders>
              <w:top w:val="nil"/>
              <w:left w:val="single" w:sz="4" w:space="0" w:color="FFFFFF"/>
              <w:bottom w:val="nil"/>
            </w:tcBorders>
            <w:shd w:val="clear" w:color="auto" w:fill="auto"/>
            <w:noWrap/>
            <w:vAlign w:val="center"/>
          </w:tcPr>
          <w:p w:rsidR="00A55600" w:rsidRDefault="00487734" w:rsidP="00A55600">
            <w:pPr>
              <w:jc w:val="right"/>
              <w:cnfStyle w:val="000000000000" w:firstRow="0" w:lastRow="0" w:firstColumn="0" w:lastColumn="0" w:oddVBand="0" w:evenVBand="0" w:oddHBand="0" w:evenHBand="0" w:firstRowFirstColumn="0" w:firstRowLastColumn="0" w:lastRowFirstColumn="0" w:lastRowLastColumn="0"/>
            </w:pPr>
            <w:r>
              <w:t>$3,230</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BD9D6"/>
            <w:noWrap/>
          </w:tcPr>
          <w:p w:rsidR="00A55600" w:rsidRDefault="00487734" w:rsidP="00A55600">
            <w:pPr>
              <w:spacing w:before="40" w:after="40" w:line="240" w:lineRule="auto"/>
              <w:rPr>
                <w:rFonts w:eastAsia="MS Mincho" w:cs="Times New Roman"/>
                <w:szCs w:val="22"/>
                <w:lang w:val="en-US"/>
              </w:rPr>
            </w:pPr>
            <w:r w:rsidRPr="0079002D">
              <w:rPr>
                <w:b w:val="0"/>
                <w:lang w:val="en-US"/>
              </w:rPr>
              <w:t>School Based Programs</w:t>
            </w:r>
          </w:p>
        </w:tc>
        <w:tc>
          <w:tcPr>
            <w:tcW w:w="1299" w:type="pct"/>
            <w:tcBorders>
              <w:top w:val="nil"/>
              <w:left w:val="single" w:sz="4" w:space="0" w:color="FFFFFF"/>
              <w:bottom w:val="nil"/>
            </w:tcBorders>
            <w:shd w:val="clear" w:color="auto" w:fill="DBD9D6"/>
            <w:noWrap/>
            <w:vAlign w:val="center"/>
          </w:tcPr>
          <w:p w:rsidR="00A55600" w:rsidRDefault="00487734" w:rsidP="00A55600">
            <w:pPr>
              <w:jc w:val="right"/>
              <w:cnfStyle w:val="000000100000" w:firstRow="0" w:lastRow="0" w:firstColumn="0" w:lastColumn="0" w:oddVBand="0" w:evenVBand="0" w:oddHBand="1" w:evenHBand="0" w:firstRowFirstColumn="0" w:firstRowLastColumn="0" w:lastRowFirstColumn="0" w:lastRowLastColumn="0"/>
            </w:pPr>
            <w:r>
              <w:t>$41,500</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487734" w:rsidP="00A55600">
            <w:pPr>
              <w:spacing w:before="40" w:after="40" w:line="240" w:lineRule="auto"/>
              <w:rPr>
                <w:rFonts w:eastAsia="MS Mincho" w:cs="Times New Roman"/>
                <w:szCs w:val="22"/>
                <w:lang w:val="en-US"/>
              </w:rPr>
            </w:pPr>
            <w:r w:rsidRPr="0079002D">
              <w:rPr>
                <w:b w:val="0"/>
                <w:lang w:val="en-US"/>
              </w:rPr>
              <w:t>Beneficiary/Memorial Accounts</w:t>
            </w:r>
          </w:p>
        </w:tc>
        <w:tc>
          <w:tcPr>
            <w:tcW w:w="1299" w:type="pct"/>
            <w:tcBorders>
              <w:top w:val="nil"/>
              <w:left w:val="single" w:sz="4" w:space="0" w:color="FFFFFF"/>
              <w:bottom w:val="nil"/>
            </w:tcBorders>
            <w:noWrap/>
            <w:vAlign w:val="center"/>
          </w:tcPr>
          <w:p w:rsidR="00A55600" w:rsidRDefault="00487734"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487734" w:rsidP="00A55600">
            <w:pPr>
              <w:spacing w:before="40" w:after="40" w:line="240" w:lineRule="auto"/>
              <w:rPr>
                <w:rFonts w:eastAsia="MS Mincho" w:cs="Times New Roman"/>
                <w:szCs w:val="22"/>
                <w:lang w:val="en-US"/>
              </w:rPr>
            </w:pPr>
            <w:r w:rsidRPr="0079002D">
              <w:rPr>
                <w:b w:val="0"/>
                <w:lang w:val="en-US"/>
              </w:rPr>
              <w:t>Cooperative Bank Account</w:t>
            </w:r>
          </w:p>
        </w:tc>
        <w:tc>
          <w:tcPr>
            <w:tcW w:w="1299" w:type="pct"/>
            <w:tcBorders>
              <w:top w:val="nil"/>
              <w:left w:val="single" w:sz="4" w:space="0" w:color="FFFFFF"/>
              <w:bottom w:val="nil"/>
            </w:tcBorders>
            <w:shd w:val="clear" w:color="auto" w:fill="D9D9D9"/>
            <w:noWrap/>
            <w:vAlign w:val="center"/>
          </w:tcPr>
          <w:p w:rsidR="00A55600" w:rsidRDefault="00487734"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487734" w:rsidP="00A55600">
            <w:pPr>
              <w:spacing w:before="40" w:after="40" w:line="240" w:lineRule="auto"/>
              <w:rPr>
                <w:rFonts w:eastAsia="MS Mincho" w:cs="Times New Roman"/>
                <w:szCs w:val="22"/>
                <w:lang w:val="en-US"/>
              </w:rPr>
            </w:pPr>
            <w:r w:rsidRPr="0079002D">
              <w:rPr>
                <w:b w:val="0"/>
                <w:lang w:val="en-US"/>
              </w:rPr>
              <w:t>Funds for Committees/Shared Arrangements</w:t>
            </w:r>
          </w:p>
        </w:tc>
        <w:tc>
          <w:tcPr>
            <w:tcW w:w="1299" w:type="pct"/>
            <w:tcBorders>
              <w:top w:val="nil"/>
              <w:left w:val="single" w:sz="4" w:space="0" w:color="FFFFFF"/>
              <w:bottom w:val="nil"/>
            </w:tcBorders>
            <w:noWrap/>
            <w:vAlign w:val="center"/>
          </w:tcPr>
          <w:p w:rsidR="00A55600" w:rsidRDefault="00487734"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487734" w:rsidP="00A55600">
            <w:pPr>
              <w:spacing w:before="40" w:after="40" w:line="240" w:lineRule="auto"/>
              <w:rPr>
                <w:rFonts w:eastAsia="MS Mincho" w:cs="Times New Roman"/>
                <w:szCs w:val="22"/>
                <w:lang w:val="en-US"/>
              </w:rPr>
            </w:pPr>
            <w:r w:rsidRPr="0079002D">
              <w:rPr>
                <w:b w:val="0"/>
                <w:lang w:val="en-US"/>
              </w:rPr>
              <w:t>Repayable to the Department</w:t>
            </w:r>
          </w:p>
        </w:tc>
        <w:tc>
          <w:tcPr>
            <w:tcW w:w="1299" w:type="pct"/>
            <w:tcBorders>
              <w:top w:val="nil"/>
              <w:left w:val="single" w:sz="4" w:space="0" w:color="FFFFFF"/>
              <w:bottom w:val="nil"/>
            </w:tcBorders>
            <w:shd w:val="clear" w:color="auto" w:fill="D9D9D9"/>
            <w:noWrap/>
            <w:vAlign w:val="center"/>
          </w:tcPr>
          <w:p w:rsidR="00A55600" w:rsidRDefault="00487734"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487734" w:rsidP="00A55600">
            <w:pPr>
              <w:spacing w:before="40" w:after="40" w:line="240" w:lineRule="auto"/>
              <w:rPr>
                <w:rFonts w:eastAsia="MS Mincho" w:cs="Times New Roman"/>
                <w:szCs w:val="22"/>
                <w:lang w:val="en-US"/>
              </w:rPr>
            </w:pPr>
            <w:r w:rsidRPr="0079002D">
              <w:rPr>
                <w:b w:val="0"/>
                <w:lang w:val="en-US"/>
              </w:rPr>
              <w:t>Asset/Equipment Replacement &lt; 12 months</w:t>
            </w:r>
          </w:p>
        </w:tc>
        <w:tc>
          <w:tcPr>
            <w:tcW w:w="1299" w:type="pct"/>
            <w:tcBorders>
              <w:top w:val="nil"/>
              <w:left w:val="single" w:sz="4" w:space="0" w:color="FFFFFF"/>
              <w:bottom w:val="nil"/>
            </w:tcBorders>
            <w:noWrap/>
            <w:vAlign w:val="center"/>
          </w:tcPr>
          <w:p w:rsidR="00A55600" w:rsidRDefault="00487734" w:rsidP="00A55600">
            <w:pPr>
              <w:jc w:val="right"/>
              <w:cnfStyle w:val="000000000000" w:firstRow="0" w:lastRow="0" w:firstColumn="0" w:lastColumn="0" w:oddVBand="0" w:evenVBand="0" w:oddHBand="0" w:evenHBand="0" w:firstRowFirstColumn="0" w:firstRowLastColumn="0" w:lastRowFirstColumn="0" w:lastRowLastColumn="0"/>
            </w:pPr>
            <w:r>
              <w:t>$3,500</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487734" w:rsidP="00A55600">
            <w:pPr>
              <w:spacing w:before="40" w:after="40" w:line="240" w:lineRule="auto"/>
              <w:rPr>
                <w:rFonts w:eastAsia="MS Mincho" w:cs="Times New Roman"/>
                <w:szCs w:val="22"/>
                <w:lang w:val="en-US"/>
              </w:rPr>
            </w:pPr>
            <w:r w:rsidRPr="0079002D">
              <w:rPr>
                <w:b w:val="0"/>
                <w:lang w:val="en-US"/>
              </w:rPr>
              <w:t>Capital - Buildings/Grounds &lt; 12 months</w:t>
            </w:r>
          </w:p>
        </w:tc>
        <w:tc>
          <w:tcPr>
            <w:tcW w:w="1299" w:type="pct"/>
            <w:tcBorders>
              <w:top w:val="nil"/>
              <w:left w:val="single" w:sz="4" w:space="0" w:color="FFFFFF"/>
              <w:bottom w:val="nil"/>
            </w:tcBorders>
            <w:shd w:val="clear" w:color="auto" w:fill="D9D9D9"/>
            <w:noWrap/>
            <w:vAlign w:val="center"/>
          </w:tcPr>
          <w:p w:rsidR="00A55600" w:rsidRDefault="00487734" w:rsidP="00A55600">
            <w:pPr>
              <w:jc w:val="right"/>
              <w:cnfStyle w:val="000000100000" w:firstRow="0" w:lastRow="0" w:firstColumn="0" w:lastColumn="0" w:oddVBand="0" w:evenVBand="0" w:oddHBand="1" w:evenHBand="0" w:firstRowFirstColumn="0" w:firstRowLastColumn="0" w:lastRowFirstColumn="0" w:lastRowLastColumn="0"/>
            </w:pPr>
            <w:r>
              <w:t>$13,133</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487734" w:rsidP="00A55600">
            <w:pPr>
              <w:spacing w:before="40" w:after="40" w:line="240" w:lineRule="auto"/>
              <w:rPr>
                <w:rFonts w:eastAsia="MS Mincho" w:cs="Times New Roman"/>
                <w:szCs w:val="22"/>
                <w:lang w:val="en-US"/>
              </w:rPr>
            </w:pPr>
            <w:r w:rsidRPr="0079002D">
              <w:rPr>
                <w:b w:val="0"/>
                <w:lang w:val="en-US"/>
              </w:rPr>
              <w:t>Maintenance - Buildings/Grounds &lt; 12 months</w:t>
            </w:r>
          </w:p>
        </w:tc>
        <w:tc>
          <w:tcPr>
            <w:tcW w:w="1299" w:type="pct"/>
            <w:tcBorders>
              <w:top w:val="nil"/>
              <w:left w:val="single" w:sz="4" w:space="0" w:color="FFFFFF"/>
              <w:bottom w:val="nil"/>
            </w:tcBorders>
            <w:noWrap/>
            <w:vAlign w:val="center"/>
          </w:tcPr>
          <w:p w:rsidR="00A55600" w:rsidRDefault="00487734"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487734" w:rsidP="00A55600">
            <w:pPr>
              <w:spacing w:before="40" w:after="40" w:line="240" w:lineRule="auto"/>
              <w:rPr>
                <w:rFonts w:eastAsia="MS Mincho" w:cs="Times New Roman"/>
                <w:szCs w:val="22"/>
                <w:lang w:val="en-US"/>
              </w:rPr>
            </w:pPr>
            <w:r w:rsidRPr="0079002D">
              <w:rPr>
                <w:b w:val="0"/>
                <w:lang w:val="en-US"/>
              </w:rPr>
              <w:t>Asset/Equipment Replacement &gt; 12 months</w:t>
            </w:r>
          </w:p>
        </w:tc>
        <w:tc>
          <w:tcPr>
            <w:tcW w:w="1299" w:type="pct"/>
            <w:tcBorders>
              <w:top w:val="nil"/>
              <w:left w:val="single" w:sz="4" w:space="0" w:color="FFFFFF"/>
              <w:bottom w:val="nil"/>
            </w:tcBorders>
            <w:shd w:val="clear" w:color="auto" w:fill="D9D9D9"/>
            <w:noWrap/>
            <w:vAlign w:val="center"/>
          </w:tcPr>
          <w:p w:rsidR="00A55600" w:rsidRDefault="00487734"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A55600" w:rsidRDefault="00487734" w:rsidP="00A55600">
            <w:pPr>
              <w:spacing w:before="40" w:after="40" w:line="240" w:lineRule="auto"/>
              <w:rPr>
                <w:rFonts w:eastAsia="MS Mincho" w:cs="Times New Roman"/>
                <w:szCs w:val="22"/>
                <w:lang w:val="en-US"/>
              </w:rPr>
            </w:pPr>
            <w:r w:rsidRPr="0079002D">
              <w:rPr>
                <w:b w:val="0"/>
                <w:lang w:val="en-US"/>
              </w:rPr>
              <w:t>Capital - Buildings/Grounds &gt; 12 months</w:t>
            </w:r>
          </w:p>
        </w:tc>
        <w:tc>
          <w:tcPr>
            <w:tcW w:w="1299" w:type="pct"/>
            <w:tcBorders>
              <w:top w:val="nil"/>
              <w:left w:val="single" w:sz="4" w:space="0" w:color="FFFFFF"/>
              <w:bottom w:val="nil"/>
            </w:tcBorders>
            <w:shd w:val="clear" w:color="auto" w:fill="auto"/>
            <w:noWrap/>
            <w:vAlign w:val="center"/>
          </w:tcPr>
          <w:p w:rsidR="00A55600" w:rsidRDefault="00487734"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0E2EFB" w:rsidTr="000E2E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487734" w:rsidP="00A55600">
            <w:pPr>
              <w:spacing w:before="40" w:after="40" w:line="240" w:lineRule="auto"/>
              <w:rPr>
                <w:rFonts w:eastAsia="MS Mincho" w:cs="Times New Roman"/>
                <w:szCs w:val="22"/>
                <w:lang w:val="en-US"/>
              </w:rPr>
            </w:pPr>
            <w:r w:rsidRPr="0079002D">
              <w:rPr>
                <w:b w:val="0"/>
                <w:lang w:val="en-US"/>
              </w:rPr>
              <w:t xml:space="preserve">Maintenance - </w:t>
            </w:r>
            <w:r w:rsidRPr="0079002D">
              <w:rPr>
                <w:b w:val="0"/>
                <w:lang w:val="en-US"/>
              </w:rPr>
              <w:t>Buildings/Grounds &gt; 12 months</w:t>
            </w:r>
          </w:p>
        </w:tc>
        <w:tc>
          <w:tcPr>
            <w:tcW w:w="1299" w:type="pct"/>
            <w:tcBorders>
              <w:top w:val="nil"/>
              <w:left w:val="single" w:sz="4" w:space="0" w:color="FFFFFF"/>
              <w:bottom w:val="nil"/>
            </w:tcBorders>
            <w:shd w:val="clear" w:color="auto" w:fill="D9D9D9"/>
            <w:noWrap/>
            <w:vAlign w:val="center"/>
          </w:tcPr>
          <w:p w:rsidR="00A55600" w:rsidRDefault="00487734"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0E2EFB" w:rsidTr="000E2E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2" w:space="0" w:color="106CB5"/>
              <w:bottom w:val="single" w:sz="2" w:space="0" w:color="106CB5"/>
            </w:tcBorders>
            <w:noWrap/>
            <w:vAlign w:val="center"/>
            <w:hideMark/>
          </w:tcPr>
          <w:p w:rsidR="002A03C0" w:rsidRDefault="00487734">
            <w:pPr>
              <w:spacing w:before="40" w:after="40" w:line="240" w:lineRule="auto"/>
              <w:rPr>
                <w:rFonts w:eastAsia="MS Mincho" w:cs="Times New Roman"/>
                <w:szCs w:val="22"/>
                <w:lang w:val="en-US"/>
              </w:rPr>
            </w:pPr>
            <w:r>
              <w:rPr>
                <w:rFonts w:eastAsia="MS Mincho" w:cs="Times New Roman"/>
                <w:bCs w:val="0"/>
                <w:szCs w:val="22"/>
                <w:lang w:val="en-US"/>
              </w:rPr>
              <w:t>Total Financial Commitments</w:t>
            </w:r>
          </w:p>
        </w:tc>
        <w:tc>
          <w:tcPr>
            <w:tcW w:w="1299" w:type="pct"/>
            <w:tcBorders>
              <w:top w:val="single" w:sz="2" w:space="0" w:color="106CB5"/>
              <w:bottom w:val="single" w:sz="2" w:space="0" w:color="106CB5"/>
            </w:tcBorders>
            <w:noWrap/>
            <w:vAlign w:val="center"/>
          </w:tcPr>
          <w:p w:rsidR="002A03C0" w:rsidRDefault="00487734">
            <w:pPr>
              <w:jc w:val="right"/>
              <w:cnfStyle w:val="000000000000" w:firstRow="0" w:lastRow="0" w:firstColumn="0" w:lastColumn="0" w:oddVBand="0" w:evenVBand="0" w:oddHBand="0" w:evenHBand="0" w:firstRowFirstColumn="0" w:firstRowLastColumn="0" w:lastRowFirstColumn="0" w:lastRowLastColumn="0"/>
            </w:pPr>
            <w:r>
              <w:t>$126,635</w:t>
            </w:r>
          </w:p>
        </w:tc>
      </w:tr>
    </w:tbl>
    <w:p w:rsidR="002A03C0" w:rsidRDefault="00487734">
      <w:pPr>
        <w:rPr>
          <w:rFonts w:eastAsia="MS Mincho"/>
        </w:rPr>
      </w:pPr>
    </w:p>
    <w:p w:rsidR="002A03C0" w:rsidRDefault="00487734">
      <w:pPr>
        <w:rPr>
          <w:rFonts w:eastAsia="MS Mincho"/>
        </w:rPr>
      </w:pPr>
    </w:p>
    <w:p w:rsidR="002A03C0" w:rsidRDefault="00487734">
      <w:pPr>
        <w:numPr>
          <w:ilvl w:val="0"/>
          <w:numId w:val="28"/>
        </w:numPr>
        <w:spacing w:after="0" w:line="240" w:lineRule="auto"/>
        <w:contextualSpacing/>
        <w:rPr>
          <w:rFonts w:eastAsia="MS Mincho"/>
        </w:rPr>
      </w:pPr>
      <w:r>
        <w:rPr>
          <w:rFonts w:eastAsia="MS Mincho"/>
        </w:rPr>
        <w:t>The equity funding reported above is a subset of the overall revenue reported by the school.</w:t>
      </w:r>
    </w:p>
    <w:p w:rsidR="002A03C0" w:rsidRDefault="00487734">
      <w:pPr>
        <w:numPr>
          <w:ilvl w:val="0"/>
          <w:numId w:val="28"/>
        </w:numPr>
        <w:spacing w:after="0" w:line="240" w:lineRule="auto"/>
        <w:rPr>
          <w:rFonts w:eastAsia="MS Mincho"/>
        </w:rPr>
      </w:pPr>
      <w:r>
        <w:rPr>
          <w:rFonts w:eastAsia="MS Mincho"/>
        </w:rPr>
        <w:t>Student Resource Package Expenditure figures are as of 04 Mar 2019</w:t>
      </w:r>
      <w:r>
        <w:rPr>
          <w:rFonts w:eastAsia="MS Mincho"/>
        </w:rPr>
        <w:t xml:space="preserve"> and are subject to change during the reconciliation process.</w:t>
      </w:r>
    </w:p>
    <w:p w:rsidR="002A03C0" w:rsidRDefault="00487734">
      <w:pPr>
        <w:numPr>
          <w:ilvl w:val="0"/>
          <w:numId w:val="28"/>
        </w:numPr>
        <w:spacing w:after="0" w:line="240" w:lineRule="auto"/>
        <w:rPr>
          <w:rFonts w:eastAsia="MS Mincho"/>
        </w:rPr>
      </w:pPr>
      <w:r>
        <w:rPr>
          <w:rFonts w:eastAsia="MS Mincho"/>
        </w:rPr>
        <w:t xml:space="preserve">Misc Expenses may include bank charges, health and personal development, administration charges, camp/excursion costs and taxation charges. </w:t>
      </w:r>
    </w:p>
    <w:p w:rsidR="002A03C0" w:rsidRDefault="00487734">
      <w:pPr>
        <w:numPr>
          <w:ilvl w:val="0"/>
          <w:numId w:val="28"/>
        </w:numPr>
        <w:spacing w:line="240" w:lineRule="auto"/>
        <w:ind w:left="357" w:hanging="357"/>
        <w:rPr>
          <w:rFonts w:eastAsia="MS Mincho"/>
        </w:rPr>
      </w:pPr>
      <w:r>
        <w:rPr>
          <w:rFonts w:eastAsia="MS Mincho"/>
        </w:rPr>
        <w:t>Salaries and Allowances refers to school-level payrol</w:t>
      </w:r>
      <w:r>
        <w:rPr>
          <w:rFonts w:eastAsia="MS Mincho"/>
        </w:rPr>
        <w:t>l.</w:t>
      </w:r>
    </w:p>
    <w:p w:rsidR="002A03C0" w:rsidRDefault="00487734">
      <w:pPr>
        <w:rPr>
          <w:rFonts w:eastAsia="MS Mincho"/>
          <w:i/>
        </w:rPr>
      </w:pPr>
      <w:r>
        <w:rPr>
          <w:rFonts w:eastAsia="MS Mincho"/>
          <w:i/>
        </w:rPr>
        <w:t>All funds received from the Department, or raised by the school, have been expended, or committed to subsequent years, to support the achievement of educational outcomes and other operational needs of the school, consistent with Department policies, Sch</w:t>
      </w:r>
      <w:r>
        <w:rPr>
          <w:rFonts w:eastAsia="MS Mincho"/>
          <w:i/>
        </w:rPr>
        <w:t>ool Council approvals and the intent/purposes for which funding was provided or raised.</w:t>
      </w:r>
    </w:p>
    <w:p w:rsidR="002A03C0" w:rsidRDefault="00487734">
      <w:pPr>
        <w:pStyle w:val="ESHeading1"/>
        <w:rPr>
          <w:b w:val="0"/>
          <w:color w:val="auto"/>
          <w:sz w:val="18"/>
          <w:szCs w:val="18"/>
        </w:rPr>
      </w:pPr>
      <w:r>
        <w:rPr>
          <w:b w:val="0"/>
        </w:rPr>
        <w:br w:type="page"/>
      </w:r>
    </w:p>
    <w:p w:rsidR="002A03C0" w:rsidRDefault="00487734">
      <w:pPr>
        <w:spacing w:line="340" w:lineRule="atLeast"/>
        <w:jc w:val="center"/>
        <w:outlineLvl w:val="0"/>
        <w:rPr>
          <w:rFonts w:eastAsia="MS Gothic" w:cs="Times New Roman"/>
          <w:b/>
          <w:spacing w:val="5"/>
          <w:kern w:val="28"/>
          <w:sz w:val="44"/>
          <w:szCs w:val="52"/>
        </w:rPr>
      </w:pPr>
      <w:r>
        <w:rPr>
          <w:rFonts w:eastAsia="MS Gothic" w:cs="Times New Roman"/>
          <w:b/>
          <w:spacing w:val="5"/>
          <w:kern w:val="28"/>
          <w:sz w:val="44"/>
          <w:szCs w:val="52"/>
        </w:rPr>
        <w:t>How to read the Annual Report</w:t>
      </w:r>
    </w:p>
    <w:p w:rsidR="002A03C0" w:rsidRDefault="00487734">
      <w:pPr>
        <w:spacing w:before="240"/>
        <w:rPr>
          <w:rFonts w:eastAsia="MS Gothic" w:cs="Times New Roman"/>
          <w:b/>
          <w:bCs/>
          <w:caps/>
          <w:color w:val="00008B"/>
          <w:sz w:val="20"/>
          <w:szCs w:val="20"/>
          <w:u w:val="single"/>
        </w:rPr>
      </w:pPr>
      <w:r>
        <w:rPr>
          <w:rFonts w:eastAsia="MS Gothic" w:cs="Times New Roman"/>
          <w:b/>
          <w:bCs/>
          <w:caps/>
          <w:color w:val="00008B"/>
          <w:sz w:val="20"/>
          <w:szCs w:val="20"/>
          <w:u w:val="single"/>
        </w:rPr>
        <w:t>What does the About Our School section refer to?</w:t>
      </w:r>
    </w:p>
    <w:p w:rsidR="00EF1DDC" w:rsidRDefault="00487734" w:rsidP="00EF1DDC">
      <w:pPr>
        <w:spacing w:after="0" w:line="240" w:lineRule="auto"/>
        <w:rPr>
          <w:rFonts w:eastAsia="MS Mincho"/>
        </w:rPr>
      </w:pPr>
      <w:r>
        <w:rPr>
          <w:rFonts w:eastAsia="MS Mincho"/>
        </w:rPr>
        <w:t xml:space="preserve">The About Our School page provides a brief background on the school, an outline of the </w:t>
      </w:r>
      <w:r>
        <w:rPr>
          <w:rFonts w:eastAsia="MS Mincho"/>
        </w:rPr>
        <w:t>school’s performance over the year and</w:t>
      </w:r>
    </w:p>
    <w:p w:rsidR="002A03C0" w:rsidRDefault="00487734">
      <w:pPr>
        <w:rPr>
          <w:rFonts w:eastAsia="MS Mincho"/>
        </w:rPr>
      </w:pPr>
      <w:r>
        <w:rPr>
          <w:rFonts w:eastAsia="MS Mincho"/>
        </w:rPr>
        <w:t>plans for the future.</w:t>
      </w:r>
    </w:p>
    <w:p w:rsidR="002A03C0" w:rsidRDefault="00487734">
      <w:pPr>
        <w:rPr>
          <w:rFonts w:eastAsia="MS Mincho"/>
        </w:rPr>
      </w:pPr>
      <w:r>
        <w:rPr>
          <w:rFonts w:eastAsia="MS Mincho"/>
        </w:rPr>
        <w:t>The ‘School Context’ describes the school’s vision, values and purpose. Details include the school’s geographic location, size and structure, social characteristics, enrolment characteristics and</w:t>
      </w:r>
      <w:r>
        <w:rPr>
          <w:rFonts w:eastAsia="MS Mincho"/>
        </w:rPr>
        <w:t xml:space="preserve"> special programs.</w:t>
      </w:r>
    </w:p>
    <w:p w:rsidR="002A03C0" w:rsidRDefault="00487734">
      <w:pPr>
        <w:rPr>
          <w:rFonts w:eastAsia="MS Mincho"/>
        </w:rPr>
      </w:pPr>
      <w:r>
        <w:rPr>
          <w:rFonts w:eastAsia="MS Mincho"/>
        </w:rPr>
        <w:t xml:space="preserve">The ‘Framework for Improving Student Outcomes (FISO)’ section includes the improvement initiatives the school has selected and the progress they have made towards achieving them.  </w:t>
      </w:r>
    </w:p>
    <w:p w:rsidR="002A03C0" w:rsidRDefault="00487734">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the </w:t>
      </w:r>
      <w:r>
        <w:rPr>
          <w:rFonts w:eastAsia="MS Gothic" w:cs="Times New Roman"/>
          <w:b/>
          <w:bCs/>
          <w:i/>
          <w:caps/>
          <w:color w:val="00008B"/>
          <w:sz w:val="20"/>
          <w:szCs w:val="20"/>
          <w:u w:val="single"/>
        </w:rPr>
        <w:t>Performance Summary</w:t>
      </w:r>
      <w:r>
        <w:rPr>
          <w:rFonts w:eastAsia="MS Gothic" w:cs="Times New Roman"/>
          <w:b/>
          <w:bCs/>
          <w:caps/>
          <w:color w:val="00008B"/>
          <w:sz w:val="20"/>
          <w:szCs w:val="20"/>
          <w:u w:val="single"/>
        </w:rPr>
        <w:t xml:space="preserve"> section of this report refer to?</w:t>
      </w:r>
    </w:p>
    <w:p w:rsidR="002A03C0" w:rsidRDefault="00487734">
      <w:pPr>
        <w:spacing w:after="0" w:line="276" w:lineRule="auto"/>
        <w:rPr>
          <w:rFonts w:eastAsia="Arial" w:cs="Times New Roman"/>
          <w:color w:val="000000"/>
          <w:szCs w:val="20"/>
        </w:rPr>
      </w:pPr>
      <w:r>
        <w:rPr>
          <w:rFonts w:eastAsia="Arial" w:cs="Times New Roman"/>
          <w:color w:val="000000"/>
          <w:szCs w:val="20"/>
        </w:rPr>
        <w:t>The Performance Summary reports on data in three key areas:</w:t>
      </w:r>
    </w:p>
    <w:p w:rsidR="002A03C0" w:rsidRDefault="00487734">
      <w:pPr>
        <w:spacing w:before="120" w:after="0" w:line="276" w:lineRule="auto"/>
        <w:rPr>
          <w:rFonts w:eastAsia="Arial" w:cs="Times New Roman"/>
          <w:b/>
          <w:color w:val="000000"/>
          <w:szCs w:val="20"/>
        </w:rPr>
      </w:pPr>
      <w:r>
        <w:rPr>
          <w:rFonts w:eastAsia="Arial" w:cs="Times New Roman"/>
          <w:b/>
          <w:color w:val="000000"/>
          <w:szCs w:val="20"/>
        </w:rPr>
        <w:t>Achievement</w:t>
      </w:r>
    </w:p>
    <w:p w:rsidR="002A03C0" w:rsidRDefault="00487734">
      <w:pPr>
        <w:numPr>
          <w:ilvl w:val="0"/>
          <w:numId w:val="29"/>
        </w:numPr>
        <w:spacing w:after="0" w:line="276" w:lineRule="auto"/>
        <w:rPr>
          <w:rFonts w:eastAsia="Arial" w:cs="Times New Roman"/>
          <w:color w:val="000000"/>
          <w:szCs w:val="20"/>
        </w:rPr>
      </w:pPr>
      <w:r>
        <w:rPr>
          <w:rFonts w:eastAsia="Arial" w:cs="Times New Roman"/>
          <w:color w:val="000000"/>
          <w:szCs w:val="20"/>
        </w:rPr>
        <w:t>student achievements in:</w:t>
      </w:r>
    </w:p>
    <w:p w:rsidR="002A03C0" w:rsidRDefault="00487734">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English and Mathematics for National Literacy and Numeracy tests (NAPLAN)</w:t>
      </w:r>
    </w:p>
    <w:p w:rsidR="002A03C0" w:rsidRDefault="00487734">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 xml:space="preserve">English and Mathematics for Teacher Judgements </w:t>
      </w:r>
      <w:r>
        <w:rPr>
          <w:rFonts w:eastAsia="Arial" w:cs="Times New Roman"/>
          <w:color w:val="000000"/>
          <w:szCs w:val="20"/>
        </w:rPr>
        <w:t>against the curriculum</w:t>
      </w:r>
    </w:p>
    <w:p w:rsidR="002A03C0" w:rsidRDefault="00487734">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All subjects for Victorian Certificate of Education (VCE) examinations (secondary schools).</w:t>
      </w:r>
    </w:p>
    <w:p w:rsidR="002A03C0" w:rsidRDefault="00487734">
      <w:pPr>
        <w:spacing w:before="120" w:after="0" w:line="276" w:lineRule="auto"/>
        <w:rPr>
          <w:rFonts w:eastAsia="Arial" w:cs="Times New Roman"/>
          <w:b/>
          <w:color w:val="000000"/>
          <w:szCs w:val="20"/>
        </w:rPr>
      </w:pPr>
      <w:r>
        <w:rPr>
          <w:rFonts w:eastAsia="Arial" w:cs="Times New Roman"/>
          <w:b/>
          <w:color w:val="000000"/>
          <w:szCs w:val="20"/>
        </w:rPr>
        <w:t>Engagement</w:t>
      </w:r>
    </w:p>
    <w:p w:rsidR="002A03C0" w:rsidRDefault="00487734">
      <w:pPr>
        <w:numPr>
          <w:ilvl w:val="0"/>
          <w:numId w:val="29"/>
        </w:numPr>
        <w:spacing w:after="0" w:line="276" w:lineRule="auto"/>
        <w:rPr>
          <w:rFonts w:eastAsia="Arial" w:cs="Times New Roman"/>
          <w:color w:val="000000"/>
          <w:szCs w:val="20"/>
        </w:rPr>
      </w:pPr>
      <w:r>
        <w:rPr>
          <w:rFonts w:eastAsia="Arial" w:cs="Times New Roman"/>
          <w:color w:val="000000"/>
          <w:szCs w:val="20"/>
        </w:rPr>
        <w:t>student attendance and engagement at school, including:</w:t>
      </w:r>
    </w:p>
    <w:p w:rsidR="002A03C0" w:rsidRDefault="00487734">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how many students leaving school go on to further studies or full-time wor</w:t>
      </w:r>
      <w:r>
        <w:rPr>
          <w:rFonts w:eastAsia="Arial" w:cs="Times New Roman"/>
          <w:color w:val="000000"/>
          <w:szCs w:val="20"/>
        </w:rPr>
        <w:t>k (secondary, P-12 and specialist schools)</w:t>
      </w:r>
    </w:p>
    <w:p w:rsidR="002A03C0" w:rsidRDefault="00487734">
      <w:pPr>
        <w:spacing w:before="120" w:after="0" w:line="276" w:lineRule="auto"/>
        <w:rPr>
          <w:rFonts w:eastAsia="Arial" w:cs="Times New Roman"/>
          <w:b/>
          <w:color w:val="000000"/>
          <w:szCs w:val="20"/>
        </w:rPr>
      </w:pPr>
      <w:r>
        <w:rPr>
          <w:rFonts w:eastAsia="Arial" w:cs="Times New Roman"/>
          <w:b/>
          <w:color w:val="000000"/>
          <w:szCs w:val="20"/>
        </w:rPr>
        <w:t>Wellbeing</w:t>
      </w:r>
    </w:p>
    <w:p w:rsidR="002A03C0" w:rsidRDefault="00487734">
      <w:pPr>
        <w:numPr>
          <w:ilvl w:val="0"/>
          <w:numId w:val="31"/>
        </w:numPr>
        <w:spacing w:after="0" w:line="276" w:lineRule="auto"/>
        <w:rPr>
          <w:rFonts w:eastAsia="Arial" w:cs="Times New Roman"/>
          <w:color w:val="000000"/>
          <w:szCs w:val="20"/>
        </w:rPr>
      </w:pPr>
      <w:r>
        <w:rPr>
          <w:rFonts w:eastAsia="Arial" w:cs="Times New Roman"/>
          <w:color w:val="000000"/>
          <w:szCs w:val="20"/>
        </w:rPr>
        <w:t>Attitudes to School Survey (ATOSS) factors:</w:t>
      </w:r>
    </w:p>
    <w:p w:rsidR="002A03C0" w:rsidRDefault="00487734">
      <w:pPr>
        <w:numPr>
          <w:ilvl w:val="1"/>
          <w:numId w:val="32"/>
        </w:numPr>
        <w:spacing w:after="0" w:line="276" w:lineRule="auto"/>
        <w:rPr>
          <w:rFonts w:eastAsia="Arial" w:cs="Times New Roman"/>
          <w:color w:val="000000"/>
          <w:szCs w:val="20"/>
        </w:rPr>
      </w:pPr>
      <w:r>
        <w:rPr>
          <w:rFonts w:eastAsia="Arial" w:cs="Times New Roman"/>
          <w:color w:val="000000"/>
          <w:szCs w:val="20"/>
        </w:rPr>
        <w:t>Sense of Connectedness</w:t>
      </w:r>
    </w:p>
    <w:p w:rsidR="002A03C0" w:rsidRDefault="00487734">
      <w:pPr>
        <w:numPr>
          <w:ilvl w:val="1"/>
          <w:numId w:val="32"/>
        </w:numPr>
        <w:spacing w:after="0" w:line="276" w:lineRule="auto"/>
        <w:rPr>
          <w:rFonts w:eastAsia="Arial" w:cs="Times New Roman"/>
          <w:color w:val="000000"/>
          <w:szCs w:val="20"/>
        </w:rPr>
      </w:pPr>
      <w:r>
        <w:rPr>
          <w:rFonts w:eastAsia="Arial" w:cs="Times New Roman"/>
          <w:color w:val="000000"/>
          <w:szCs w:val="20"/>
        </w:rPr>
        <w:t>Management of Bullying</w:t>
      </w:r>
    </w:p>
    <w:p w:rsidR="002A03C0" w:rsidRDefault="00487734">
      <w:pPr>
        <w:rPr>
          <w:rFonts w:eastAsia="MS Mincho"/>
        </w:rPr>
      </w:pPr>
      <w:r>
        <w:rPr>
          <w:rFonts w:eastAsia="MS Mincho"/>
        </w:rPr>
        <w:t>Results are displayed for the latest year, as well as the average of the last four years (where available).</w:t>
      </w:r>
    </w:p>
    <w:p w:rsidR="002A03C0" w:rsidRDefault="00487734">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w:t>
      </w:r>
      <w:r>
        <w:rPr>
          <w:rFonts w:eastAsia="MS Gothic" w:cs="Times New Roman"/>
          <w:b/>
          <w:bCs/>
          <w:caps/>
          <w:color w:val="00008B"/>
          <w:sz w:val="20"/>
          <w:szCs w:val="20"/>
          <w:u w:val="single"/>
        </w:rPr>
        <w:t>does School Comparison refer to?</w:t>
      </w:r>
    </w:p>
    <w:p w:rsidR="002A03C0" w:rsidRDefault="00487734">
      <w:pPr>
        <w:rPr>
          <w:rFonts w:eastAsia="MS Mincho"/>
        </w:rPr>
      </w:pPr>
      <w:r>
        <w:rPr>
          <w:rFonts w:eastAsia="Arial"/>
          <w:color w:val="000000"/>
        </w:rPr>
        <w:t>The</w:t>
      </w:r>
      <w:r>
        <w:rPr>
          <w:rFonts w:eastAsia="Arial"/>
          <w:i/>
          <w:color w:val="000000"/>
        </w:rPr>
        <w:t xml:space="preserve"> </w:t>
      </w:r>
      <w:r>
        <w:rPr>
          <w:rFonts w:eastAsia="Arial"/>
          <w:color w:val="000000"/>
        </w:rPr>
        <w:t>School Comparison is a way of comparing this school’s performance to similar schools in Victoria.</w:t>
      </w:r>
    </w:p>
    <w:p w:rsidR="002A03C0" w:rsidRDefault="00487734">
      <w:pPr>
        <w:rPr>
          <w:rFonts w:eastAsia="Arial"/>
          <w:color w:val="000000"/>
        </w:rPr>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w:t>
      </w:r>
      <w:r>
        <w:rPr>
          <w:rFonts w:eastAsia="Arial"/>
          <w:color w:val="000000"/>
        </w:rPr>
        <w:t xml:space="preserve">mber of Aboriginal students, the number of non-English speaking and refugee students, the number of students with a disability and the size and location of the school. </w:t>
      </w:r>
    </w:p>
    <w:p w:rsidR="002A03C0" w:rsidRDefault="00487734">
      <w:pPr>
        <w:rPr>
          <w:rFonts w:eastAsia="MS Mincho"/>
        </w:rPr>
      </w:pPr>
      <w:r>
        <w:rPr>
          <w:rFonts w:eastAsia="Arial"/>
          <w:color w:val="000000"/>
        </w:rPr>
        <w:t>The School Comparison</w:t>
      </w:r>
      <w:r>
        <w:rPr>
          <w:rFonts w:eastAsia="Arial"/>
          <w:i/>
          <w:color w:val="00000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rPr>
        <w:t xml:space="preserve"> </w:t>
      </w:r>
      <w:r>
        <w:rPr>
          <w:rFonts w:eastAsia="Arial"/>
          <w:color w:val="000000"/>
        </w:rPr>
        <w:t xml:space="preserve">to other schools with alike student </w:t>
      </w:r>
      <w:r>
        <w:rPr>
          <w:rFonts w:eastAsia="MS Mincho"/>
        </w:rPr>
        <w:t xml:space="preserve">backgrounds and characteristics. Some schools are doing exceptionally well and have </w:t>
      </w:r>
      <w:r>
        <w:rPr>
          <w:rFonts w:eastAsia="MS Mincho"/>
          <w:b/>
        </w:rPr>
        <w:t>‘Higher’</w:t>
      </w:r>
      <w:r>
        <w:rPr>
          <w:rFonts w:eastAsia="MS Mincho"/>
        </w:rPr>
        <w:t xml:space="preserve"> performance.  Some schools have </w:t>
      </w:r>
      <w:r>
        <w:rPr>
          <w:rFonts w:eastAsia="MS Mincho"/>
          <w:b/>
        </w:rPr>
        <w:t>‘Lower’</w:t>
      </w:r>
      <w:r>
        <w:rPr>
          <w:rFonts w:eastAsia="MS Mincho"/>
        </w:rPr>
        <w:t xml:space="preserve"> performance than expected and receive targeted support to ensure that there is improvement.</w:t>
      </w:r>
    </w:p>
    <w:p w:rsidR="002A03C0" w:rsidRDefault="00487734">
      <w:pPr>
        <w:rPr>
          <w:rFonts w:eastAsia="MS Gothic" w:cs="Times New Roman"/>
          <w:b/>
          <w:bCs/>
          <w:caps/>
          <w:color w:val="00008B"/>
          <w:sz w:val="20"/>
          <w:szCs w:val="20"/>
          <w:u w:val="single"/>
        </w:rPr>
      </w:pPr>
      <w:r>
        <w:rPr>
          <w:rFonts w:eastAsia="MS Gothic" w:cs="Times New Roman"/>
          <w:b/>
          <w:bCs/>
          <w:caps/>
          <w:color w:val="00008B"/>
          <w:sz w:val="20"/>
          <w:szCs w:val="20"/>
          <w:u w:val="single"/>
        </w:rPr>
        <w:t>What does ‘Data not available’ or ‘np’ mean?</w:t>
      </w:r>
    </w:p>
    <w:p w:rsidR="002A03C0" w:rsidRDefault="00487734">
      <w:pPr>
        <w:spacing w:line="240" w:lineRule="auto"/>
        <w:rPr>
          <w:rFonts w:eastAsia="Arial" w:cs="Times New Roman"/>
          <w:color w:val="000000"/>
          <w:szCs w:val="20"/>
        </w:rPr>
      </w:pPr>
      <w:r>
        <w:rPr>
          <w:rFonts w:eastAsia="Arial" w:cs="Times New Roman"/>
          <w:color w:val="000000"/>
          <w:szCs w:val="20"/>
        </w:rPr>
        <w:t xml:space="preserve">Some schools have too few students enrolled to provide data. There may be no students enrolled in some year levels so </w:t>
      </w:r>
      <w:r>
        <w:rPr>
          <w:rFonts w:eastAsia="Arial" w:cs="Times New Roman"/>
          <w:color w:val="000000"/>
          <w:szCs w:val="20"/>
        </w:rPr>
        <w:t xml:space="preserve">school comparisons are not possible. </w:t>
      </w:r>
    </w:p>
    <w:p w:rsidR="002A03C0" w:rsidRDefault="00487734">
      <w:pPr>
        <w:spacing w:line="240" w:lineRule="auto"/>
        <w:rPr>
          <w:rFonts w:eastAsia="Arial" w:cs="Times New Roman"/>
          <w:color w:val="000000"/>
          <w:szCs w:val="20"/>
        </w:rPr>
      </w:pPr>
      <w:r>
        <w:rPr>
          <w:rFonts w:eastAsia="Arial" w:cs="Times New Roman"/>
          <w:color w:val="000000"/>
          <w:szCs w:val="20"/>
        </w:rPr>
        <w:t xml:space="preserve">New schools have only the latest year of data and no comparative data from previous years. </w:t>
      </w:r>
    </w:p>
    <w:p w:rsidR="002A03C0" w:rsidRDefault="00487734">
      <w:pPr>
        <w:spacing w:line="240" w:lineRule="auto"/>
        <w:rPr>
          <w:rFonts w:eastAsia="MS Mincho"/>
        </w:rPr>
      </w:pPr>
      <w:r>
        <w:rPr>
          <w:rFonts w:eastAsia="Arial" w:cs="Times New Roman"/>
          <w:color w:val="000000"/>
          <w:szCs w:val="20"/>
        </w:rPr>
        <w:t xml:space="preserve">The Department also recognises unique circumstances in Specialist, Select Entry, English Language and Community Schools where </w:t>
      </w:r>
      <w:r>
        <w:rPr>
          <w:rFonts w:eastAsia="MS Mincho"/>
        </w:rPr>
        <w:t>school-to-school comparisons are not appropriate.</w:t>
      </w:r>
    </w:p>
    <w:p w:rsidR="002A03C0" w:rsidRDefault="00487734">
      <w:pPr>
        <w:rPr>
          <w:rFonts w:eastAsia="MS Gothic" w:cs="Times New Roman"/>
          <w:b/>
          <w:bCs/>
          <w:caps/>
          <w:color w:val="00008B"/>
          <w:sz w:val="20"/>
          <w:szCs w:val="20"/>
          <w:u w:val="single"/>
        </w:rPr>
      </w:pPr>
      <w:r>
        <w:rPr>
          <w:rFonts w:eastAsia="MS Gothic" w:cs="Times New Roman"/>
          <w:b/>
          <w:bCs/>
          <w:caps/>
          <w:color w:val="00008B"/>
          <w:sz w:val="20"/>
          <w:szCs w:val="20"/>
          <w:u w:val="single"/>
        </w:rPr>
        <w:t>What is the Victorian Curriculum?</w:t>
      </w:r>
    </w:p>
    <w:p w:rsidR="002A03C0" w:rsidRDefault="00487734">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w:t>
      </w:r>
      <w:r>
        <w:rPr>
          <w:rFonts w:eastAsia="Arial"/>
          <w:color w:val="000000"/>
        </w:rPr>
        <w:t xml:space="preserve">skills required by students for life-long learning, social development and active and informed citizenship. </w:t>
      </w:r>
    </w:p>
    <w:p w:rsidR="002A03C0" w:rsidRDefault="00487734">
      <w:pPr>
        <w:spacing w:line="240" w:lineRule="auto"/>
        <w:rPr>
          <w:rFonts w:eastAsia="MS Mincho"/>
        </w:rPr>
      </w:pPr>
      <w:r>
        <w:rPr>
          <w:rFonts w:eastAsia="Arial"/>
          <w:color w:val="000000"/>
        </w:rPr>
        <w:t>The curriculum has been developed to ensure that school subjects and their achievement standards enable continuous learning for all students, inclu</w:t>
      </w:r>
      <w:r>
        <w:rPr>
          <w:rFonts w:eastAsia="Arial"/>
          <w:color w:val="000000"/>
        </w:rPr>
        <w:t>ding students with disabilities.</w:t>
      </w:r>
    </w:p>
    <w:p w:rsidR="002A03C0" w:rsidRDefault="00487734">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2A03C0" w:rsidRDefault="00487734">
      <w:pPr>
        <w:spacing w:line="240" w:lineRule="auto"/>
        <w:rPr>
          <w:rFonts w:eastAsia="Arial"/>
          <w:color w:val="000000"/>
        </w:rPr>
      </w:pPr>
      <w:r>
        <w:rPr>
          <w:rFonts w:eastAsia="Arial"/>
          <w:color w:val="000000"/>
        </w:rPr>
        <w:t>‘Levels A to D’ may be used for students with a disability or students who may have addit</w:t>
      </w:r>
      <w:r>
        <w:rPr>
          <w:rFonts w:eastAsia="Arial"/>
          <w:color w:val="000000"/>
        </w:rPr>
        <w:t>ional learning needs.</w:t>
      </w:r>
    </w:p>
    <w:p w:rsidR="002A03C0" w:rsidRDefault="00487734">
      <w:pPr>
        <w:spacing w:line="240" w:lineRule="auto"/>
        <w:rPr>
          <w:i/>
        </w:rPr>
      </w:pPr>
      <w:r>
        <w:rPr>
          <w:rFonts w:eastAsia="Arial"/>
          <w:color w:val="000000"/>
        </w:rPr>
        <w:t>‘Levels A to D’ are not associated with any set age or year level that links chronological age to cognitive progress (i.e. there is no age expected standard of achievement for ‘Levels A to D’).</w:t>
      </w:r>
    </w:p>
    <w:sectPr w:rsidR="002A03C0">
      <w:headerReference w:type="default" r:id="rId28"/>
      <w:footerReference w:type="default" r:id="rId29"/>
      <w:headerReference w:type="first" r:id="rId30"/>
      <w:pgSz w:w="11900" w:h="16840"/>
      <w:pgMar w:top="1418" w:right="567" w:bottom="851" w:left="567" w:header="284" w:footer="46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7734">
      <w:pPr>
        <w:spacing w:after="0" w:line="240" w:lineRule="auto"/>
      </w:pPr>
      <w:r>
        <w:separator/>
      </w:r>
    </w:p>
  </w:endnote>
  <w:endnote w:type="continuationSeparator" w:id="0">
    <w:p w:rsidR="00000000" w:rsidRDefault="0048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487734"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2E3" w:rsidRDefault="00487734"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3E29B5" w:rsidRDefault="00487734"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95" w:rsidRDefault="004877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7839E6" w:rsidRDefault="00487734" w:rsidP="00362A9C">
    <w:pPr>
      <w:pStyle w:val="ESImageorGraphTitle"/>
      <w:rPr>
        <w:b w:val="0"/>
        <w:sz w:val="15"/>
        <w:szCs w:val="15"/>
      </w:rPr>
    </w:pPr>
    <w:r w:rsidRPr="007839E6">
      <w:rPr>
        <w:b w:val="0"/>
        <w:noProof/>
        <w:sz w:val="15"/>
        <w:szCs w:val="15"/>
      </w:rPr>
      <w:t>Greensborough Primary School (2062)</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6932E3" w:rsidRPr="007B2B29" w:rsidRDefault="00487734"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928465"/>
      <w:docPartObj>
        <w:docPartGallery w:val="Page Numbers (Bottom of Page)"/>
        <w:docPartUnique/>
      </w:docPartObj>
    </w:sdtPr>
    <w:sdtEndPr>
      <w:rPr>
        <w:noProof/>
      </w:rPr>
    </w:sdtEndPr>
    <w:sdtContent>
      <w:p w:rsidR="002A03C0" w:rsidRDefault="00487734">
        <w:pPr>
          <w:pStyle w:val="Footer"/>
          <w:jc w:val="right"/>
        </w:pPr>
        <w:r>
          <w:fldChar w:fldCharType="begin"/>
        </w:r>
        <w:r>
          <w:instrText xml:space="preserve"> PAGE  </w:instrText>
        </w:r>
        <w:r>
          <w:instrText xml:space="preserv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87734">
      <w:pPr>
        <w:spacing w:after="0" w:line="240" w:lineRule="auto"/>
      </w:pPr>
      <w:r>
        <w:separator/>
      </w:r>
    </w:p>
  </w:footnote>
  <w:footnote w:type="continuationSeparator" w:id="0">
    <w:p w:rsidR="00000000" w:rsidRDefault="0048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48773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48773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487734">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6932E3" w:rsidRDefault="0048773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48773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48773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487734">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48773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FE3A95" w:rsidRDefault="00487734" w:rsidP="00FE3A95">
    <w:pPr>
      <w:jc w:val="right"/>
      <w:rPr>
        <w:sz w:val="22"/>
        <w:szCs w:val="22"/>
      </w:rPr>
    </w:pPr>
    <w:r w:rsidRPr="00FE3A95">
      <w:rPr>
        <w:noProof/>
        <w:sz w:val="22"/>
        <w:szCs w:val="22"/>
      </w:rPr>
      <w:t>Greensborough Primary School (2062)</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48773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48773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C0" w:rsidRDefault="00487734">
    <w:pPr>
      <w:pStyle w:val="Header"/>
      <w:spacing w:before="240"/>
    </w:pPr>
    <w:r>
      <w:rPr>
        <w:noProof/>
        <w:lang w:val="en-AU" w:eastAsia="en-AU"/>
      </w:rPr>
      <w:drawing>
        <wp:inline distT="0" distB="0" distL="0" distR="0">
          <wp:extent cx="1471910" cy="512445"/>
          <wp:effectExtent l="0" t="0" r="0" b="1905"/>
          <wp:docPr id="976393686"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Greensborough Primary School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C0" w:rsidRDefault="00487734">
    <w:pPr>
      <w:pStyle w:val="Header"/>
      <w:ind w:left="-993"/>
    </w:pPr>
    <w:r>
      <w:ptab w:relativeTo="margin" w:alignment="left" w:leader="none"/>
    </w:r>
  </w:p>
  <w:p w:rsidR="002A03C0" w:rsidRDefault="00487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F5126C06">
      <w:start w:val="1"/>
      <w:numFmt w:val="bullet"/>
      <w:lvlText w:val=""/>
      <w:lvlJc w:val="left"/>
      <w:pPr>
        <w:ind w:left="720" w:hanging="360"/>
      </w:pPr>
      <w:rPr>
        <w:rFonts w:ascii="Symbol" w:hAnsi="Symbol" w:hint="default"/>
      </w:rPr>
    </w:lvl>
    <w:lvl w:ilvl="1" w:tplc="89FCED60" w:tentative="1">
      <w:start w:val="1"/>
      <w:numFmt w:val="bullet"/>
      <w:lvlText w:val="o"/>
      <w:lvlJc w:val="left"/>
      <w:pPr>
        <w:ind w:left="1440" w:hanging="360"/>
      </w:pPr>
      <w:rPr>
        <w:rFonts w:ascii="Courier New" w:hAnsi="Courier New" w:cs="Courier New" w:hint="default"/>
      </w:rPr>
    </w:lvl>
    <w:lvl w:ilvl="2" w:tplc="27506B3A" w:tentative="1">
      <w:start w:val="1"/>
      <w:numFmt w:val="bullet"/>
      <w:lvlText w:val=""/>
      <w:lvlJc w:val="left"/>
      <w:pPr>
        <w:ind w:left="2160" w:hanging="360"/>
      </w:pPr>
      <w:rPr>
        <w:rFonts w:ascii="Wingdings" w:hAnsi="Wingdings" w:hint="default"/>
      </w:rPr>
    </w:lvl>
    <w:lvl w:ilvl="3" w:tplc="1A384E44" w:tentative="1">
      <w:start w:val="1"/>
      <w:numFmt w:val="bullet"/>
      <w:lvlText w:val=""/>
      <w:lvlJc w:val="left"/>
      <w:pPr>
        <w:ind w:left="2880" w:hanging="360"/>
      </w:pPr>
      <w:rPr>
        <w:rFonts w:ascii="Symbol" w:hAnsi="Symbol" w:hint="default"/>
      </w:rPr>
    </w:lvl>
    <w:lvl w:ilvl="4" w:tplc="E320C4B0" w:tentative="1">
      <w:start w:val="1"/>
      <w:numFmt w:val="bullet"/>
      <w:lvlText w:val="o"/>
      <w:lvlJc w:val="left"/>
      <w:pPr>
        <w:ind w:left="3600" w:hanging="360"/>
      </w:pPr>
      <w:rPr>
        <w:rFonts w:ascii="Courier New" w:hAnsi="Courier New" w:cs="Courier New" w:hint="default"/>
      </w:rPr>
    </w:lvl>
    <w:lvl w:ilvl="5" w:tplc="2B9ED43E" w:tentative="1">
      <w:start w:val="1"/>
      <w:numFmt w:val="bullet"/>
      <w:lvlText w:val=""/>
      <w:lvlJc w:val="left"/>
      <w:pPr>
        <w:ind w:left="4320" w:hanging="360"/>
      </w:pPr>
      <w:rPr>
        <w:rFonts w:ascii="Wingdings" w:hAnsi="Wingdings" w:hint="default"/>
      </w:rPr>
    </w:lvl>
    <w:lvl w:ilvl="6" w:tplc="D86E8AFE" w:tentative="1">
      <w:start w:val="1"/>
      <w:numFmt w:val="bullet"/>
      <w:lvlText w:val=""/>
      <w:lvlJc w:val="left"/>
      <w:pPr>
        <w:ind w:left="5040" w:hanging="360"/>
      </w:pPr>
      <w:rPr>
        <w:rFonts w:ascii="Symbol" w:hAnsi="Symbol" w:hint="default"/>
      </w:rPr>
    </w:lvl>
    <w:lvl w:ilvl="7" w:tplc="D61EC704" w:tentative="1">
      <w:start w:val="1"/>
      <w:numFmt w:val="bullet"/>
      <w:lvlText w:val="o"/>
      <w:lvlJc w:val="left"/>
      <w:pPr>
        <w:ind w:left="5760" w:hanging="360"/>
      </w:pPr>
      <w:rPr>
        <w:rFonts w:ascii="Courier New" w:hAnsi="Courier New" w:cs="Courier New" w:hint="default"/>
      </w:rPr>
    </w:lvl>
    <w:lvl w:ilvl="8" w:tplc="740C8FA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2998051E">
      <w:start w:val="1"/>
      <w:numFmt w:val="bullet"/>
      <w:lvlText w:val=""/>
      <w:lvlJc w:val="left"/>
      <w:pPr>
        <w:ind w:left="720" w:hanging="360"/>
      </w:pPr>
      <w:rPr>
        <w:rFonts w:ascii="Symbol" w:hAnsi="Symbol" w:hint="default"/>
      </w:rPr>
    </w:lvl>
    <w:lvl w:ilvl="1" w:tplc="AD9E3A32" w:tentative="1">
      <w:start w:val="1"/>
      <w:numFmt w:val="bullet"/>
      <w:lvlText w:val="o"/>
      <w:lvlJc w:val="left"/>
      <w:pPr>
        <w:ind w:left="1440" w:hanging="360"/>
      </w:pPr>
      <w:rPr>
        <w:rFonts w:ascii="Courier New" w:hAnsi="Courier New" w:cs="Courier New" w:hint="default"/>
      </w:rPr>
    </w:lvl>
    <w:lvl w:ilvl="2" w:tplc="E406761E" w:tentative="1">
      <w:start w:val="1"/>
      <w:numFmt w:val="bullet"/>
      <w:lvlText w:val=""/>
      <w:lvlJc w:val="left"/>
      <w:pPr>
        <w:ind w:left="2160" w:hanging="360"/>
      </w:pPr>
      <w:rPr>
        <w:rFonts w:ascii="Wingdings" w:hAnsi="Wingdings" w:hint="default"/>
      </w:rPr>
    </w:lvl>
    <w:lvl w:ilvl="3" w:tplc="CF4AE808" w:tentative="1">
      <w:start w:val="1"/>
      <w:numFmt w:val="bullet"/>
      <w:lvlText w:val=""/>
      <w:lvlJc w:val="left"/>
      <w:pPr>
        <w:ind w:left="2880" w:hanging="360"/>
      </w:pPr>
      <w:rPr>
        <w:rFonts w:ascii="Symbol" w:hAnsi="Symbol" w:hint="default"/>
      </w:rPr>
    </w:lvl>
    <w:lvl w:ilvl="4" w:tplc="38847380" w:tentative="1">
      <w:start w:val="1"/>
      <w:numFmt w:val="bullet"/>
      <w:lvlText w:val="o"/>
      <w:lvlJc w:val="left"/>
      <w:pPr>
        <w:ind w:left="3600" w:hanging="360"/>
      </w:pPr>
      <w:rPr>
        <w:rFonts w:ascii="Courier New" w:hAnsi="Courier New" w:cs="Courier New" w:hint="default"/>
      </w:rPr>
    </w:lvl>
    <w:lvl w:ilvl="5" w:tplc="903E3614" w:tentative="1">
      <w:start w:val="1"/>
      <w:numFmt w:val="bullet"/>
      <w:lvlText w:val=""/>
      <w:lvlJc w:val="left"/>
      <w:pPr>
        <w:ind w:left="4320" w:hanging="360"/>
      </w:pPr>
      <w:rPr>
        <w:rFonts w:ascii="Wingdings" w:hAnsi="Wingdings" w:hint="default"/>
      </w:rPr>
    </w:lvl>
    <w:lvl w:ilvl="6" w:tplc="1B04AFE2" w:tentative="1">
      <w:start w:val="1"/>
      <w:numFmt w:val="bullet"/>
      <w:lvlText w:val=""/>
      <w:lvlJc w:val="left"/>
      <w:pPr>
        <w:ind w:left="5040" w:hanging="360"/>
      </w:pPr>
      <w:rPr>
        <w:rFonts w:ascii="Symbol" w:hAnsi="Symbol" w:hint="default"/>
      </w:rPr>
    </w:lvl>
    <w:lvl w:ilvl="7" w:tplc="E05851AC" w:tentative="1">
      <w:start w:val="1"/>
      <w:numFmt w:val="bullet"/>
      <w:lvlText w:val="o"/>
      <w:lvlJc w:val="left"/>
      <w:pPr>
        <w:ind w:left="5760" w:hanging="360"/>
      </w:pPr>
      <w:rPr>
        <w:rFonts w:ascii="Courier New" w:hAnsi="Courier New" w:cs="Courier New" w:hint="default"/>
      </w:rPr>
    </w:lvl>
    <w:lvl w:ilvl="8" w:tplc="AFFCC3D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5C1C0B24">
      <w:start w:val="1"/>
      <w:numFmt w:val="bullet"/>
      <w:pStyle w:val="ESBulletsinTable"/>
      <w:lvlText w:val=""/>
      <w:lvlJc w:val="left"/>
      <w:pPr>
        <w:ind w:left="360" w:hanging="360"/>
      </w:pPr>
      <w:rPr>
        <w:rFonts w:ascii="Symbol" w:hAnsi="Symbol" w:hint="default"/>
        <w:color w:val="AF272F"/>
      </w:rPr>
    </w:lvl>
    <w:lvl w:ilvl="1" w:tplc="C7A8FEA8">
      <w:start w:val="1"/>
      <w:numFmt w:val="bullet"/>
      <w:pStyle w:val="ESBulletsinTableLevel2"/>
      <w:lvlText w:val="o"/>
      <w:lvlJc w:val="left"/>
      <w:pPr>
        <w:ind w:left="1440" w:hanging="360"/>
      </w:pPr>
      <w:rPr>
        <w:rFonts w:ascii="Courier New" w:hAnsi="Courier New" w:cs="Courier New" w:hint="default"/>
      </w:rPr>
    </w:lvl>
    <w:lvl w:ilvl="2" w:tplc="F8580DB2" w:tentative="1">
      <w:start w:val="1"/>
      <w:numFmt w:val="bullet"/>
      <w:lvlText w:val=""/>
      <w:lvlJc w:val="left"/>
      <w:pPr>
        <w:ind w:left="2160" w:hanging="360"/>
      </w:pPr>
      <w:rPr>
        <w:rFonts w:ascii="Wingdings" w:hAnsi="Wingdings" w:hint="default"/>
      </w:rPr>
    </w:lvl>
    <w:lvl w:ilvl="3" w:tplc="C352CBE8" w:tentative="1">
      <w:start w:val="1"/>
      <w:numFmt w:val="bullet"/>
      <w:lvlText w:val=""/>
      <w:lvlJc w:val="left"/>
      <w:pPr>
        <w:ind w:left="2880" w:hanging="360"/>
      </w:pPr>
      <w:rPr>
        <w:rFonts w:ascii="Symbol" w:hAnsi="Symbol" w:hint="default"/>
      </w:rPr>
    </w:lvl>
    <w:lvl w:ilvl="4" w:tplc="1A84C40C" w:tentative="1">
      <w:start w:val="1"/>
      <w:numFmt w:val="bullet"/>
      <w:lvlText w:val="o"/>
      <w:lvlJc w:val="left"/>
      <w:pPr>
        <w:ind w:left="3600" w:hanging="360"/>
      </w:pPr>
      <w:rPr>
        <w:rFonts w:ascii="Courier New" w:hAnsi="Courier New" w:cs="Courier New" w:hint="default"/>
      </w:rPr>
    </w:lvl>
    <w:lvl w:ilvl="5" w:tplc="907EA43C" w:tentative="1">
      <w:start w:val="1"/>
      <w:numFmt w:val="bullet"/>
      <w:lvlText w:val=""/>
      <w:lvlJc w:val="left"/>
      <w:pPr>
        <w:ind w:left="4320" w:hanging="360"/>
      </w:pPr>
      <w:rPr>
        <w:rFonts w:ascii="Wingdings" w:hAnsi="Wingdings" w:hint="default"/>
      </w:rPr>
    </w:lvl>
    <w:lvl w:ilvl="6" w:tplc="32262986" w:tentative="1">
      <w:start w:val="1"/>
      <w:numFmt w:val="bullet"/>
      <w:lvlText w:val=""/>
      <w:lvlJc w:val="left"/>
      <w:pPr>
        <w:ind w:left="5040" w:hanging="360"/>
      </w:pPr>
      <w:rPr>
        <w:rFonts w:ascii="Symbol" w:hAnsi="Symbol" w:hint="default"/>
      </w:rPr>
    </w:lvl>
    <w:lvl w:ilvl="7" w:tplc="6CCAD896" w:tentative="1">
      <w:start w:val="1"/>
      <w:numFmt w:val="bullet"/>
      <w:lvlText w:val="o"/>
      <w:lvlJc w:val="left"/>
      <w:pPr>
        <w:ind w:left="5760" w:hanging="360"/>
      </w:pPr>
      <w:rPr>
        <w:rFonts w:ascii="Courier New" w:hAnsi="Courier New" w:cs="Courier New" w:hint="default"/>
      </w:rPr>
    </w:lvl>
    <w:lvl w:ilvl="8" w:tplc="A1167106"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F7421F62">
      <w:start w:val="1"/>
      <w:numFmt w:val="bullet"/>
      <w:lvlText w:val=""/>
      <w:lvlJc w:val="left"/>
      <w:pPr>
        <w:ind w:left="720" w:hanging="360"/>
      </w:pPr>
      <w:rPr>
        <w:rFonts w:ascii="Symbol" w:hAnsi="Symbol" w:hint="default"/>
      </w:rPr>
    </w:lvl>
    <w:lvl w:ilvl="1" w:tplc="6450DA10" w:tentative="1">
      <w:start w:val="1"/>
      <w:numFmt w:val="bullet"/>
      <w:lvlText w:val="o"/>
      <w:lvlJc w:val="left"/>
      <w:pPr>
        <w:ind w:left="1440" w:hanging="360"/>
      </w:pPr>
      <w:rPr>
        <w:rFonts w:ascii="Courier New" w:hAnsi="Courier New" w:cs="Courier New" w:hint="default"/>
      </w:rPr>
    </w:lvl>
    <w:lvl w:ilvl="2" w:tplc="4CC6D23E" w:tentative="1">
      <w:start w:val="1"/>
      <w:numFmt w:val="bullet"/>
      <w:lvlText w:val=""/>
      <w:lvlJc w:val="left"/>
      <w:pPr>
        <w:ind w:left="2160" w:hanging="360"/>
      </w:pPr>
      <w:rPr>
        <w:rFonts w:ascii="Wingdings" w:hAnsi="Wingdings" w:hint="default"/>
      </w:rPr>
    </w:lvl>
    <w:lvl w:ilvl="3" w:tplc="17DCCBE8" w:tentative="1">
      <w:start w:val="1"/>
      <w:numFmt w:val="bullet"/>
      <w:lvlText w:val=""/>
      <w:lvlJc w:val="left"/>
      <w:pPr>
        <w:ind w:left="2880" w:hanging="360"/>
      </w:pPr>
      <w:rPr>
        <w:rFonts w:ascii="Symbol" w:hAnsi="Symbol" w:hint="default"/>
      </w:rPr>
    </w:lvl>
    <w:lvl w:ilvl="4" w:tplc="09708264" w:tentative="1">
      <w:start w:val="1"/>
      <w:numFmt w:val="bullet"/>
      <w:lvlText w:val="o"/>
      <w:lvlJc w:val="left"/>
      <w:pPr>
        <w:ind w:left="3600" w:hanging="360"/>
      </w:pPr>
      <w:rPr>
        <w:rFonts w:ascii="Courier New" w:hAnsi="Courier New" w:cs="Courier New" w:hint="default"/>
      </w:rPr>
    </w:lvl>
    <w:lvl w:ilvl="5" w:tplc="AA3AE83E" w:tentative="1">
      <w:start w:val="1"/>
      <w:numFmt w:val="bullet"/>
      <w:lvlText w:val=""/>
      <w:lvlJc w:val="left"/>
      <w:pPr>
        <w:ind w:left="4320" w:hanging="360"/>
      </w:pPr>
      <w:rPr>
        <w:rFonts w:ascii="Wingdings" w:hAnsi="Wingdings" w:hint="default"/>
      </w:rPr>
    </w:lvl>
    <w:lvl w:ilvl="6" w:tplc="246213AC" w:tentative="1">
      <w:start w:val="1"/>
      <w:numFmt w:val="bullet"/>
      <w:lvlText w:val=""/>
      <w:lvlJc w:val="left"/>
      <w:pPr>
        <w:ind w:left="5040" w:hanging="360"/>
      </w:pPr>
      <w:rPr>
        <w:rFonts w:ascii="Symbol" w:hAnsi="Symbol" w:hint="default"/>
      </w:rPr>
    </w:lvl>
    <w:lvl w:ilvl="7" w:tplc="10BEC34A" w:tentative="1">
      <w:start w:val="1"/>
      <w:numFmt w:val="bullet"/>
      <w:lvlText w:val="o"/>
      <w:lvlJc w:val="left"/>
      <w:pPr>
        <w:ind w:left="5760" w:hanging="360"/>
      </w:pPr>
      <w:rPr>
        <w:rFonts w:ascii="Courier New" w:hAnsi="Courier New" w:cs="Courier New" w:hint="default"/>
      </w:rPr>
    </w:lvl>
    <w:lvl w:ilvl="8" w:tplc="6CFA2EDC"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3A448D64">
      <w:start w:val="1"/>
      <w:numFmt w:val="bullet"/>
      <w:lvlText w:val=""/>
      <w:lvlJc w:val="left"/>
      <w:pPr>
        <w:ind w:left="180" w:hanging="360"/>
      </w:pPr>
      <w:rPr>
        <w:rFonts w:ascii="Symbol" w:hAnsi="Symbol" w:hint="default"/>
      </w:rPr>
    </w:lvl>
    <w:lvl w:ilvl="1" w:tplc="DC149AA8" w:tentative="1">
      <w:start w:val="1"/>
      <w:numFmt w:val="bullet"/>
      <w:lvlText w:val="o"/>
      <w:lvlJc w:val="left"/>
      <w:pPr>
        <w:ind w:left="900" w:hanging="360"/>
      </w:pPr>
      <w:rPr>
        <w:rFonts w:ascii="Courier New" w:hAnsi="Courier New" w:cs="Courier New" w:hint="default"/>
      </w:rPr>
    </w:lvl>
    <w:lvl w:ilvl="2" w:tplc="98DCC6DA" w:tentative="1">
      <w:start w:val="1"/>
      <w:numFmt w:val="bullet"/>
      <w:lvlText w:val=""/>
      <w:lvlJc w:val="left"/>
      <w:pPr>
        <w:ind w:left="1620" w:hanging="360"/>
      </w:pPr>
      <w:rPr>
        <w:rFonts w:ascii="Wingdings" w:hAnsi="Wingdings" w:hint="default"/>
      </w:rPr>
    </w:lvl>
    <w:lvl w:ilvl="3" w:tplc="44C464E0" w:tentative="1">
      <w:start w:val="1"/>
      <w:numFmt w:val="bullet"/>
      <w:lvlText w:val=""/>
      <w:lvlJc w:val="left"/>
      <w:pPr>
        <w:ind w:left="2340" w:hanging="360"/>
      </w:pPr>
      <w:rPr>
        <w:rFonts w:ascii="Symbol" w:hAnsi="Symbol" w:hint="default"/>
      </w:rPr>
    </w:lvl>
    <w:lvl w:ilvl="4" w:tplc="3C3C49CE" w:tentative="1">
      <w:start w:val="1"/>
      <w:numFmt w:val="bullet"/>
      <w:lvlText w:val="o"/>
      <w:lvlJc w:val="left"/>
      <w:pPr>
        <w:ind w:left="3060" w:hanging="360"/>
      </w:pPr>
      <w:rPr>
        <w:rFonts w:ascii="Courier New" w:hAnsi="Courier New" w:cs="Courier New" w:hint="default"/>
      </w:rPr>
    </w:lvl>
    <w:lvl w:ilvl="5" w:tplc="EE76DB22" w:tentative="1">
      <w:start w:val="1"/>
      <w:numFmt w:val="bullet"/>
      <w:lvlText w:val=""/>
      <w:lvlJc w:val="left"/>
      <w:pPr>
        <w:ind w:left="3780" w:hanging="360"/>
      </w:pPr>
      <w:rPr>
        <w:rFonts w:ascii="Wingdings" w:hAnsi="Wingdings" w:hint="default"/>
      </w:rPr>
    </w:lvl>
    <w:lvl w:ilvl="6" w:tplc="38789BF0" w:tentative="1">
      <w:start w:val="1"/>
      <w:numFmt w:val="bullet"/>
      <w:lvlText w:val=""/>
      <w:lvlJc w:val="left"/>
      <w:pPr>
        <w:ind w:left="4500" w:hanging="360"/>
      </w:pPr>
      <w:rPr>
        <w:rFonts w:ascii="Symbol" w:hAnsi="Symbol" w:hint="default"/>
      </w:rPr>
    </w:lvl>
    <w:lvl w:ilvl="7" w:tplc="BE0E9CDC" w:tentative="1">
      <w:start w:val="1"/>
      <w:numFmt w:val="bullet"/>
      <w:lvlText w:val="o"/>
      <w:lvlJc w:val="left"/>
      <w:pPr>
        <w:ind w:left="5220" w:hanging="360"/>
      </w:pPr>
      <w:rPr>
        <w:rFonts w:ascii="Courier New" w:hAnsi="Courier New" w:cs="Courier New" w:hint="default"/>
      </w:rPr>
    </w:lvl>
    <w:lvl w:ilvl="8" w:tplc="35D82388"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657A6A5E">
      <w:start w:val="1"/>
      <w:numFmt w:val="bullet"/>
      <w:lvlText w:val=""/>
      <w:lvlJc w:val="left"/>
      <w:pPr>
        <w:ind w:left="720" w:hanging="360"/>
      </w:pPr>
      <w:rPr>
        <w:rFonts w:ascii="Symbol" w:hAnsi="Symbol" w:hint="default"/>
      </w:rPr>
    </w:lvl>
    <w:lvl w:ilvl="1" w:tplc="256061AE" w:tentative="1">
      <w:start w:val="1"/>
      <w:numFmt w:val="bullet"/>
      <w:lvlText w:val="o"/>
      <w:lvlJc w:val="left"/>
      <w:pPr>
        <w:ind w:left="1440" w:hanging="360"/>
      </w:pPr>
      <w:rPr>
        <w:rFonts w:ascii="Courier New" w:hAnsi="Courier New" w:cs="Courier New" w:hint="default"/>
      </w:rPr>
    </w:lvl>
    <w:lvl w:ilvl="2" w:tplc="B394D9CC" w:tentative="1">
      <w:start w:val="1"/>
      <w:numFmt w:val="bullet"/>
      <w:lvlText w:val=""/>
      <w:lvlJc w:val="left"/>
      <w:pPr>
        <w:ind w:left="2160" w:hanging="360"/>
      </w:pPr>
      <w:rPr>
        <w:rFonts w:ascii="Wingdings" w:hAnsi="Wingdings" w:hint="default"/>
      </w:rPr>
    </w:lvl>
    <w:lvl w:ilvl="3" w:tplc="1FAA3792" w:tentative="1">
      <w:start w:val="1"/>
      <w:numFmt w:val="bullet"/>
      <w:lvlText w:val=""/>
      <w:lvlJc w:val="left"/>
      <w:pPr>
        <w:ind w:left="2880" w:hanging="360"/>
      </w:pPr>
      <w:rPr>
        <w:rFonts w:ascii="Symbol" w:hAnsi="Symbol" w:hint="default"/>
      </w:rPr>
    </w:lvl>
    <w:lvl w:ilvl="4" w:tplc="6A2ED69E" w:tentative="1">
      <w:start w:val="1"/>
      <w:numFmt w:val="bullet"/>
      <w:lvlText w:val="o"/>
      <w:lvlJc w:val="left"/>
      <w:pPr>
        <w:ind w:left="3600" w:hanging="360"/>
      </w:pPr>
      <w:rPr>
        <w:rFonts w:ascii="Courier New" w:hAnsi="Courier New" w:cs="Courier New" w:hint="default"/>
      </w:rPr>
    </w:lvl>
    <w:lvl w:ilvl="5" w:tplc="EA16EAEE" w:tentative="1">
      <w:start w:val="1"/>
      <w:numFmt w:val="bullet"/>
      <w:lvlText w:val=""/>
      <w:lvlJc w:val="left"/>
      <w:pPr>
        <w:ind w:left="4320" w:hanging="360"/>
      </w:pPr>
      <w:rPr>
        <w:rFonts w:ascii="Wingdings" w:hAnsi="Wingdings" w:hint="default"/>
      </w:rPr>
    </w:lvl>
    <w:lvl w:ilvl="6" w:tplc="652CC406" w:tentative="1">
      <w:start w:val="1"/>
      <w:numFmt w:val="bullet"/>
      <w:lvlText w:val=""/>
      <w:lvlJc w:val="left"/>
      <w:pPr>
        <w:ind w:left="5040" w:hanging="360"/>
      </w:pPr>
      <w:rPr>
        <w:rFonts w:ascii="Symbol" w:hAnsi="Symbol" w:hint="default"/>
      </w:rPr>
    </w:lvl>
    <w:lvl w:ilvl="7" w:tplc="93386EB6" w:tentative="1">
      <w:start w:val="1"/>
      <w:numFmt w:val="bullet"/>
      <w:lvlText w:val="o"/>
      <w:lvlJc w:val="left"/>
      <w:pPr>
        <w:ind w:left="5760" w:hanging="360"/>
      </w:pPr>
      <w:rPr>
        <w:rFonts w:ascii="Courier New" w:hAnsi="Courier New" w:cs="Courier New" w:hint="default"/>
      </w:rPr>
    </w:lvl>
    <w:lvl w:ilvl="8" w:tplc="BB3EDED4"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1732267A">
      <w:start w:val="1"/>
      <w:numFmt w:val="bullet"/>
      <w:lvlText w:val=""/>
      <w:lvlJc w:val="left"/>
      <w:pPr>
        <w:ind w:left="180" w:hanging="360"/>
      </w:pPr>
      <w:rPr>
        <w:rFonts w:ascii="Symbol" w:hAnsi="Symbol" w:hint="default"/>
      </w:rPr>
    </w:lvl>
    <w:lvl w:ilvl="1" w:tplc="5B1A7562" w:tentative="1">
      <w:start w:val="1"/>
      <w:numFmt w:val="bullet"/>
      <w:lvlText w:val="o"/>
      <w:lvlJc w:val="left"/>
      <w:pPr>
        <w:ind w:left="900" w:hanging="360"/>
      </w:pPr>
      <w:rPr>
        <w:rFonts w:ascii="Courier New" w:hAnsi="Courier New" w:cs="Courier New" w:hint="default"/>
      </w:rPr>
    </w:lvl>
    <w:lvl w:ilvl="2" w:tplc="8FAE7660" w:tentative="1">
      <w:start w:val="1"/>
      <w:numFmt w:val="bullet"/>
      <w:lvlText w:val=""/>
      <w:lvlJc w:val="left"/>
      <w:pPr>
        <w:ind w:left="1620" w:hanging="360"/>
      </w:pPr>
      <w:rPr>
        <w:rFonts w:ascii="Wingdings" w:hAnsi="Wingdings" w:hint="default"/>
      </w:rPr>
    </w:lvl>
    <w:lvl w:ilvl="3" w:tplc="C0B6ADE6" w:tentative="1">
      <w:start w:val="1"/>
      <w:numFmt w:val="bullet"/>
      <w:lvlText w:val=""/>
      <w:lvlJc w:val="left"/>
      <w:pPr>
        <w:ind w:left="2340" w:hanging="360"/>
      </w:pPr>
      <w:rPr>
        <w:rFonts w:ascii="Symbol" w:hAnsi="Symbol" w:hint="default"/>
      </w:rPr>
    </w:lvl>
    <w:lvl w:ilvl="4" w:tplc="EF1EE286" w:tentative="1">
      <w:start w:val="1"/>
      <w:numFmt w:val="bullet"/>
      <w:lvlText w:val="o"/>
      <w:lvlJc w:val="left"/>
      <w:pPr>
        <w:ind w:left="3060" w:hanging="360"/>
      </w:pPr>
      <w:rPr>
        <w:rFonts w:ascii="Courier New" w:hAnsi="Courier New" w:cs="Courier New" w:hint="default"/>
      </w:rPr>
    </w:lvl>
    <w:lvl w:ilvl="5" w:tplc="C7FA3CE8" w:tentative="1">
      <w:start w:val="1"/>
      <w:numFmt w:val="bullet"/>
      <w:lvlText w:val=""/>
      <w:lvlJc w:val="left"/>
      <w:pPr>
        <w:ind w:left="3780" w:hanging="360"/>
      </w:pPr>
      <w:rPr>
        <w:rFonts w:ascii="Wingdings" w:hAnsi="Wingdings" w:hint="default"/>
      </w:rPr>
    </w:lvl>
    <w:lvl w:ilvl="6" w:tplc="F4502706" w:tentative="1">
      <w:start w:val="1"/>
      <w:numFmt w:val="bullet"/>
      <w:lvlText w:val=""/>
      <w:lvlJc w:val="left"/>
      <w:pPr>
        <w:ind w:left="4500" w:hanging="360"/>
      </w:pPr>
      <w:rPr>
        <w:rFonts w:ascii="Symbol" w:hAnsi="Symbol" w:hint="default"/>
      </w:rPr>
    </w:lvl>
    <w:lvl w:ilvl="7" w:tplc="5F70B726" w:tentative="1">
      <w:start w:val="1"/>
      <w:numFmt w:val="bullet"/>
      <w:lvlText w:val="o"/>
      <w:lvlJc w:val="left"/>
      <w:pPr>
        <w:ind w:left="5220" w:hanging="360"/>
      </w:pPr>
      <w:rPr>
        <w:rFonts w:ascii="Courier New" w:hAnsi="Courier New" w:cs="Courier New" w:hint="default"/>
      </w:rPr>
    </w:lvl>
    <w:lvl w:ilvl="8" w:tplc="A6CA35DC"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3AE02C58">
      <w:start w:val="1"/>
      <w:numFmt w:val="bullet"/>
      <w:lvlText w:val=""/>
      <w:lvlJc w:val="left"/>
      <w:pPr>
        <w:ind w:left="720" w:hanging="360"/>
      </w:pPr>
      <w:rPr>
        <w:rFonts w:ascii="Symbol" w:hAnsi="Symbol" w:hint="default"/>
      </w:rPr>
    </w:lvl>
    <w:lvl w:ilvl="1" w:tplc="73B67994" w:tentative="1">
      <w:start w:val="1"/>
      <w:numFmt w:val="bullet"/>
      <w:lvlText w:val="o"/>
      <w:lvlJc w:val="left"/>
      <w:pPr>
        <w:ind w:left="1440" w:hanging="360"/>
      </w:pPr>
      <w:rPr>
        <w:rFonts w:ascii="Courier New" w:hAnsi="Courier New" w:cs="Courier New" w:hint="default"/>
      </w:rPr>
    </w:lvl>
    <w:lvl w:ilvl="2" w:tplc="BFDAC660" w:tentative="1">
      <w:start w:val="1"/>
      <w:numFmt w:val="bullet"/>
      <w:lvlText w:val=""/>
      <w:lvlJc w:val="left"/>
      <w:pPr>
        <w:ind w:left="2160" w:hanging="360"/>
      </w:pPr>
      <w:rPr>
        <w:rFonts w:ascii="Wingdings" w:hAnsi="Wingdings" w:hint="default"/>
      </w:rPr>
    </w:lvl>
    <w:lvl w:ilvl="3" w:tplc="02FA96F8" w:tentative="1">
      <w:start w:val="1"/>
      <w:numFmt w:val="bullet"/>
      <w:lvlText w:val=""/>
      <w:lvlJc w:val="left"/>
      <w:pPr>
        <w:ind w:left="2880" w:hanging="360"/>
      </w:pPr>
      <w:rPr>
        <w:rFonts w:ascii="Symbol" w:hAnsi="Symbol" w:hint="default"/>
      </w:rPr>
    </w:lvl>
    <w:lvl w:ilvl="4" w:tplc="40B84E02" w:tentative="1">
      <w:start w:val="1"/>
      <w:numFmt w:val="bullet"/>
      <w:lvlText w:val="o"/>
      <w:lvlJc w:val="left"/>
      <w:pPr>
        <w:ind w:left="3600" w:hanging="360"/>
      </w:pPr>
      <w:rPr>
        <w:rFonts w:ascii="Courier New" w:hAnsi="Courier New" w:cs="Courier New" w:hint="default"/>
      </w:rPr>
    </w:lvl>
    <w:lvl w:ilvl="5" w:tplc="2B74808A" w:tentative="1">
      <w:start w:val="1"/>
      <w:numFmt w:val="bullet"/>
      <w:lvlText w:val=""/>
      <w:lvlJc w:val="left"/>
      <w:pPr>
        <w:ind w:left="4320" w:hanging="360"/>
      </w:pPr>
      <w:rPr>
        <w:rFonts w:ascii="Wingdings" w:hAnsi="Wingdings" w:hint="default"/>
      </w:rPr>
    </w:lvl>
    <w:lvl w:ilvl="6" w:tplc="D46CE052" w:tentative="1">
      <w:start w:val="1"/>
      <w:numFmt w:val="bullet"/>
      <w:lvlText w:val=""/>
      <w:lvlJc w:val="left"/>
      <w:pPr>
        <w:ind w:left="5040" w:hanging="360"/>
      </w:pPr>
      <w:rPr>
        <w:rFonts w:ascii="Symbol" w:hAnsi="Symbol" w:hint="default"/>
      </w:rPr>
    </w:lvl>
    <w:lvl w:ilvl="7" w:tplc="2E06F488" w:tentative="1">
      <w:start w:val="1"/>
      <w:numFmt w:val="bullet"/>
      <w:lvlText w:val="o"/>
      <w:lvlJc w:val="left"/>
      <w:pPr>
        <w:ind w:left="5760" w:hanging="360"/>
      </w:pPr>
      <w:rPr>
        <w:rFonts w:ascii="Courier New" w:hAnsi="Courier New" w:cs="Courier New" w:hint="default"/>
      </w:rPr>
    </w:lvl>
    <w:lvl w:ilvl="8" w:tplc="9E602EF2"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8CCCB6C"/>
    <w:lvl w:ilvl="0" w:tplc="0142A0C8">
      <w:numFmt w:val="bullet"/>
      <w:lvlText w:val="•"/>
      <w:lvlJc w:val="left"/>
      <w:pPr>
        <w:ind w:left="1080" w:hanging="720"/>
      </w:pPr>
      <w:rPr>
        <w:rFonts w:ascii="Arial" w:eastAsiaTheme="minorEastAsia" w:hAnsi="Arial" w:cs="Arial" w:hint="default"/>
      </w:rPr>
    </w:lvl>
    <w:lvl w:ilvl="1" w:tplc="C5E200E2" w:tentative="1">
      <w:start w:val="1"/>
      <w:numFmt w:val="bullet"/>
      <w:lvlText w:val="o"/>
      <w:lvlJc w:val="left"/>
      <w:pPr>
        <w:ind w:left="1440" w:hanging="360"/>
      </w:pPr>
      <w:rPr>
        <w:rFonts w:ascii="Courier New" w:hAnsi="Courier New" w:cs="Courier New" w:hint="default"/>
      </w:rPr>
    </w:lvl>
    <w:lvl w:ilvl="2" w:tplc="307C6EAA" w:tentative="1">
      <w:start w:val="1"/>
      <w:numFmt w:val="bullet"/>
      <w:lvlText w:val=""/>
      <w:lvlJc w:val="left"/>
      <w:pPr>
        <w:ind w:left="2160" w:hanging="360"/>
      </w:pPr>
      <w:rPr>
        <w:rFonts w:ascii="Wingdings" w:hAnsi="Wingdings" w:hint="default"/>
      </w:rPr>
    </w:lvl>
    <w:lvl w:ilvl="3" w:tplc="03E82AA0" w:tentative="1">
      <w:start w:val="1"/>
      <w:numFmt w:val="bullet"/>
      <w:lvlText w:val=""/>
      <w:lvlJc w:val="left"/>
      <w:pPr>
        <w:ind w:left="2880" w:hanging="360"/>
      </w:pPr>
      <w:rPr>
        <w:rFonts w:ascii="Symbol" w:hAnsi="Symbol" w:hint="default"/>
      </w:rPr>
    </w:lvl>
    <w:lvl w:ilvl="4" w:tplc="94CC00C4" w:tentative="1">
      <w:start w:val="1"/>
      <w:numFmt w:val="bullet"/>
      <w:lvlText w:val="o"/>
      <w:lvlJc w:val="left"/>
      <w:pPr>
        <w:ind w:left="3600" w:hanging="360"/>
      </w:pPr>
      <w:rPr>
        <w:rFonts w:ascii="Courier New" w:hAnsi="Courier New" w:cs="Courier New" w:hint="default"/>
      </w:rPr>
    </w:lvl>
    <w:lvl w:ilvl="5" w:tplc="9940BA90" w:tentative="1">
      <w:start w:val="1"/>
      <w:numFmt w:val="bullet"/>
      <w:lvlText w:val=""/>
      <w:lvlJc w:val="left"/>
      <w:pPr>
        <w:ind w:left="4320" w:hanging="360"/>
      </w:pPr>
      <w:rPr>
        <w:rFonts w:ascii="Wingdings" w:hAnsi="Wingdings" w:hint="default"/>
      </w:rPr>
    </w:lvl>
    <w:lvl w:ilvl="6" w:tplc="C5F4D114" w:tentative="1">
      <w:start w:val="1"/>
      <w:numFmt w:val="bullet"/>
      <w:lvlText w:val=""/>
      <w:lvlJc w:val="left"/>
      <w:pPr>
        <w:ind w:left="5040" w:hanging="360"/>
      </w:pPr>
      <w:rPr>
        <w:rFonts w:ascii="Symbol" w:hAnsi="Symbol" w:hint="default"/>
      </w:rPr>
    </w:lvl>
    <w:lvl w:ilvl="7" w:tplc="9852F36E" w:tentative="1">
      <w:start w:val="1"/>
      <w:numFmt w:val="bullet"/>
      <w:lvlText w:val="o"/>
      <w:lvlJc w:val="left"/>
      <w:pPr>
        <w:ind w:left="5760" w:hanging="360"/>
      </w:pPr>
      <w:rPr>
        <w:rFonts w:ascii="Courier New" w:hAnsi="Courier New" w:cs="Courier New" w:hint="default"/>
      </w:rPr>
    </w:lvl>
    <w:lvl w:ilvl="8" w:tplc="4B3CBC14"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0D76C286"/>
    <w:lvl w:ilvl="0" w:tplc="DBBA06DE">
      <w:start w:val="1"/>
      <w:numFmt w:val="decimal"/>
      <w:lvlText w:val="%1."/>
      <w:lvlJc w:val="left"/>
      <w:pPr>
        <w:ind w:left="360" w:hanging="360"/>
      </w:pPr>
    </w:lvl>
    <w:lvl w:ilvl="1" w:tplc="F482B51A" w:tentative="1">
      <w:start w:val="1"/>
      <w:numFmt w:val="lowerLetter"/>
      <w:lvlText w:val="%2."/>
      <w:lvlJc w:val="left"/>
      <w:pPr>
        <w:ind w:left="1080" w:hanging="360"/>
      </w:pPr>
    </w:lvl>
    <w:lvl w:ilvl="2" w:tplc="27DCAAEC" w:tentative="1">
      <w:start w:val="1"/>
      <w:numFmt w:val="lowerRoman"/>
      <w:lvlText w:val="%3."/>
      <w:lvlJc w:val="right"/>
      <w:pPr>
        <w:ind w:left="1800" w:hanging="180"/>
      </w:pPr>
    </w:lvl>
    <w:lvl w:ilvl="3" w:tplc="B0043A52" w:tentative="1">
      <w:start w:val="1"/>
      <w:numFmt w:val="decimal"/>
      <w:lvlText w:val="%4."/>
      <w:lvlJc w:val="left"/>
      <w:pPr>
        <w:ind w:left="2520" w:hanging="360"/>
      </w:pPr>
    </w:lvl>
    <w:lvl w:ilvl="4" w:tplc="B36E0166" w:tentative="1">
      <w:start w:val="1"/>
      <w:numFmt w:val="lowerLetter"/>
      <w:lvlText w:val="%5."/>
      <w:lvlJc w:val="left"/>
      <w:pPr>
        <w:ind w:left="3240" w:hanging="360"/>
      </w:pPr>
    </w:lvl>
    <w:lvl w:ilvl="5" w:tplc="18968658" w:tentative="1">
      <w:start w:val="1"/>
      <w:numFmt w:val="lowerRoman"/>
      <w:lvlText w:val="%6."/>
      <w:lvlJc w:val="right"/>
      <w:pPr>
        <w:ind w:left="3960" w:hanging="180"/>
      </w:pPr>
    </w:lvl>
    <w:lvl w:ilvl="6" w:tplc="439E7D78" w:tentative="1">
      <w:start w:val="1"/>
      <w:numFmt w:val="decimal"/>
      <w:lvlText w:val="%7."/>
      <w:lvlJc w:val="left"/>
      <w:pPr>
        <w:ind w:left="4680" w:hanging="360"/>
      </w:pPr>
    </w:lvl>
    <w:lvl w:ilvl="7" w:tplc="E848CF52" w:tentative="1">
      <w:start w:val="1"/>
      <w:numFmt w:val="lowerLetter"/>
      <w:lvlText w:val="%8."/>
      <w:lvlJc w:val="left"/>
      <w:pPr>
        <w:ind w:left="5400" w:hanging="360"/>
      </w:pPr>
    </w:lvl>
    <w:lvl w:ilvl="8" w:tplc="FCEA5E64" w:tentative="1">
      <w:start w:val="1"/>
      <w:numFmt w:val="lowerRoman"/>
      <w:lvlText w:val="%9."/>
      <w:lvlJc w:val="right"/>
      <w:pPr>
        <w:ind w:left="6120" w:hanging="180"/>
      </w:pPr>
    </w:lvl>
  </w:abstractNum>
  <w:abstractNum w:abstractNumId="28" w15:restartNumberingAfterBreak="0">
    <w:nsid w:val="7FCB6DE3"/>
    <w:multiLevelType w:val="hybridMultilevel"/>
    <w:tmpl w:val="BDA61AAC"/>
    <w:lvl w:ilvl="0" w:tplc="C1F8CAB8">
      <w:start w:val="1"/>
      <w:numFmt w:val="bullet"/>
      <w:lvlText w:val=""/>
      <w:lvlJc w:val="left"/>
      <w:pPr>
        <w:ind w:left="720" w:hanging="360"/>
      </w:pPr>
      <w:rPr>
        <w:rFonts w:ascii="Symbol" w:hAnsi="Symbol" w:hint="default"/>
      </w:rPr>
    </w:lvl>
    <w:lvl w:ilvl="1" w:tplc="81DA2FEE">
      <w:start w:val="1"/>
      <w:numFmt w:val="bullet"/>
      <w:lvlText w:val="o"/>
      <w:lvlJc w:val="left"/>
      <w:pPr>
        <w:ind w:left="1440" w:hanging="360"/>
      </w:pPr>
      <w:rPr>
        <w:rFonts w:ascii="Courier New" w:hAnsi="Courier New" w:cs="Courier New" w:hint="default"/>
      </w:rPr>
    </w:lvl>
    <w:lvl w:ilvl="2" w:tplc="46C68AA4" w:tentative="1">
      <w:start w:val="1"/>
      <w:numFmt w:val="bullet"/>
      <w:lvlText w:val=""/>
      <w:lvlJc w:val="left"/>
      <w:pPr>
        <w:ind w:left="2160" w:hanging="360"/>
      </w:pPr>
      <w:rPr>
        <w:rFonts w:ascii="Wingdings" w:hAnsi="Wingdings" w:hint="default"/>
      </w:rPr>
    </w:lvl>
    <w:lvl w:ilvl="3" w:tplc="5C50EEBA" w:tentative="1">
      <w:start w:val="1"/>
      <w:numFmt w:val="bullet"/>
      <w:lvlText w:val=""/>
      <w:lvlJc w:val="left"/>
      <w:pPr>
        <w:ind w:left="2880" w:hanging="360"/>
      </w:pPr>
      <w:rPr>
        <w:rFonts w:ascii="Symbol" w:hAnsi="Symbol" w:hint="default"/>
      </w:rPr>
    </w:lvl>
    <w:lvl w:ilvl="4" w:tplc="0A245888" w:tentative="1">
      <w:start w:val="1"/>
      <w:numFmt w:val="bullet"/>
      <w:lvlText w:val="o"/>
      <w:lvlJc w:val="left"/>
      <w:pPr>
        <w:ind w:left="3600" w:hanging="360"/>
      </w:pPr>
      <w:rPr>
        <w:rFonts w:ascii="Courier New" w:hAnsi="Courier New" w:cs="Courier New" w:hint="default"/>
      </w:rPr>
    </w:lvl>
    <w:lvl w:ilvl="5" w:tplc="CF9C26B0" w:tentative="1">
      <w:start w:val="1"/>
      <w:numFmt w:val="bullet"/>
      <w:lvlText w:val=""/>
      <w:lvlJc w:val="left"/>
      <w:pPr>
        <w:ind w:left="4320" w:hanging="360"/>
      </w:pPr>
      <w:rPr>
        <w:rFonts w:ascii="Wingdings" w:hAnsi="Wingdings" w:hint="default"/>
      </w:rPr>
    </w:lvl>
    <w:lvl w:ilvl="6" w:tplc="B8E4812C" w:tentative="1">
      <w:start w:val="1"/>
      <w:numFmt w:val="bullet"/>
      <w:lvlText w:val=""/>
      <w:lvlJc w:val="left"/>
      <w:pPr>
        <w:ind w:left="5040" w:hanging="360"/>
      </w:pPr>
      <w:rPr>
        <w:rFonts w:ascii="Symbol" w:hAnsi="Symbol" w:hint="default"/>
      </w:rPr>
    </w:lvl>
    <w:lvl w:ilvl="7" w:tplc="FDBE1C70" w:tentative="1">
      <w:start w:val="1"/>
      <w:numFmt w:val="bullet"/>
      <w:lvlText w:val="o"/>
      <w:lvlJc w:val="left"/>
      <w:pPr>
        <w:ind w:left="5760" w:hanging="360"/>
      </w:pPr>
      <w:rPr>
        <w:rFonts w:ascii="Courier New" w:hAnsi="Courier New" w:cs="Courier New" w:hint="default"/>
      </w:rPr>
    </w:lvl>
    <w:lvl w:ilvl="8" w:tplc="4FB06214" w:tentative="1">
      <w:start w:val="1"/>
      <w:numFmt w:val="bullet"/>
      <w:lvlText w:val=""/>
      <w:lvlJc w:val="left"/>
      <w:pPr>
        <w:ind w:left="6480" w:hanging="360"/>
      </w:pPr>
      <w:rPr>
        <w:rFonts w:ascii="Wingdings" w:hAnsi="Wingdings" w:hint="default"/>
      </w:rPr>
    </w:lvl>
  </w:abstractNum>
  <w:abstractNum w:abstractNumId="29" w15:restartNumberingAfterBreak="0">
    <w:nsid w:val="7FCB6DE4"/>
    <w:multiLevelType w:val="hybridMultilevel"/>
    <w:tmpl w:val="5E7875AC"/>
    <w:lvl w:ilvl="0" w:tplc="A984B37E">
      <w:numFmt w:val="bullet"/>
      <w:lvlText w:val="-"/>
      <w:lvlJc w:val="left"/>
      <w:pPr>
        <w:ind w:left="1440" w:hanging="360"/>
      </w:pPr>
      <w:rPr>
        <w:rFonts w:ascii="Arial" w:eastAsia="Arial" w:hAnsi="Arial" w:cs="Arial" w:hint="default"/>
      </w:rPr>
    </w:lvl>
    <w:lvl w:ilvl="1" w:tplc="8E4C8B74">
      <w:start w:val="1"/>
      <w:numFmt w:val="bullet"/>
      <w:lvlText w:val="o"/>
      <w:lvlJc w:val="left"/>
      <w:pPr>
        <w:ind w:left="2160" w:hanging="360"/>
      </w:pPr>
      <w:rPr>
        <w:rFonts w:ascii="Courier New" w:hAnsi="Courier New" w:cs="Courier New" w:hint="default"/>
      </w:rPr>
    </w:lvl>
    <w:lvl w:ilvl="2" w:tplc="52FE2F80" w:tentative="1">
      <w:start w:val="1"/>
      <w:numFmt w:val="bullet"/>
      <w:lvlText w:val=""/>
      <w:lvlJc w:val="left"/>
      <w:pPr>
        <w:ind w:left="2880" w:hanging="360"/>
      </w:pPr>
      <w:rPr>
        <w:rFonts w:ascii="Wingdings" w:hAnsi="Wingdings" w:hint="default"/>
      </w:rPr>
    </w:lvl>
    <w:lvl w:ilvl="3" w:tplc="A7947BAA" w:tentative="1">
      <w:start w:val="1"/>
      <w:numFmt w:val="bullet"/>
      <w:lvlText w:val=""/>
      <w:lvlJc w:val="left"/>
      <w:pPr>
        <w:ind w:left="3600" w:hanging="360"/>
      </w:pPr>
      <w:rPr>
        <w:rFonts w:ascii="Symbol" w:hAnsi="Symbol" w:hint="default"/>
      </w:rPr>
    </w:lvl>
    <w:lvl w:ilvl="4" w:tplc="94CCE766" w:tentative="1">
      <w:start w:val="1"/>
      <w:numFmt w:val="bullet"/>
      <w:lvlText w:val="o"/>
      <w:lvlJc w:val="left"/>
      <w:pPr>
        <w:ind w:left="4320" w:hanging="360"/>
      </w:pPr>
      <w:rPr>
        <w:rFonts w:ascii="Courier New" w:hAnsi="Courier New" w:cs="Courier New" w:hint="default"/>
      </w:rPr>
    </w:lvl>
    <w:lvl w:ilvl="5" w:tplc="B0565382" w:tentative="1">
      <w:start w:val="1"/>
      <w:numFmt w:val="bullet"/>
      <w:lvlText w:val=""/>
      <w:lvlJc w:val="left"/>
      <w:pPr>
        <w:ind w:left="5040" w:hanging="360"/>
      </w:pPr>
      <w:rPr>
        <w:rFonts w:ascii="Wingdings" w:hAnsi="Wingdings" w:hint="default"/>
      </w:rPr>
    </w:lvl>
    <w:lvl w:ilvl="6" w:tplc="0E4CFE5A" w:tentative="1">
      <w:start w:val="1"/>
      <w:numFmt w:val="bullet"/>
      <w:lvlText w:val=""/>
      <w:lvlJc w:val="left"/>
      <w:pPr>
        <w:ind w:left="5760" w:hanging="360"/>
      </w:pPr>
      <w:rPr>
        <w:rFonts w:ascii="Symbol" w:hAnsi="Symbol" w:hint="default"/>
      </w:rPr>
    </w:lvl>
    <w:lvl w:ilvl="7" w:tplc="825A31D0" w:tentative="1">
      <w:start w:val="1"/>
      <w:numFmt w:val="bullet"/>
      <w:lvlText w:val="o"/>
      <w:lvlJc w:val="left"/>
      <w:pPr>
        <w:ind w:left="6480" w:hanging="360"/>
      </w:pPr>
      <w:rPr>
        <w:rFonts w:ascii="Courier New" w:hAnsi="Courier New" w:cs="Courier New" w:hint="default"/>
      </w:rPr>
    </w:lvl>
    <w:lvl w:ilvl="8" w:tplc="486CBAA6" w:tentative="1">
      <w:start w:val="1"/>
      <w:numFmt w:val="bullet"/>
      <w:lvlText w:val=""/>
      <w:lvlJc w:val="left"/>
      <w:pPr>
        <w:ind w:left="7200" w:hanging="360"/>
      </w:pPr>
      <w:rPr>
        <w:rFonts w:ascii="Wingdings" w:hAnsi="Wingdings" w:hint="default"/>
      </w:rPr>
    </w:lvl>
  </w:abstractNum>
  <w:abstractNum w:abstractNumId="30" w15:restartNumberingAfterBreak="0">
    <w:nsid w:val="7FCB6DE5"/>
    <w:multiLevelType w:val="hybridMultilevel"/>
    <w:tmpl w:val="8DB4C5EC"/>
    <w:lvl w:ilvl="0" w:tplc="D6306F02">
      <w:start w:val="1"/>
      <w:numFmt w:val="bullet"/>
      <w:lvlText w:val=""/>
      <w:lvlJc w:val="left"/>
      <w:pPr>
        <w:ind w:left="720" w:hanging="360"/>
      </w:pPr>
      <w:rPr>
        <w:rFonts w:ascii="Symbol" w:hAnsi="Symbol" w:hint="default"/>
      </w:rPr>
    </w:lvl>
    <w:lvl w:ilvl="1" w:tplc="40A69F4C">
      <w:start w:val="1"/>
      <w:numFmt w:val="bullet"/>
      <w:lvlText w:val="o"/>
      <w:lvlJc w:val="left"/>
      <w:pPr>
        <w:ind w:left="1440" w:hanging="360"/>
      </w:pPr>
      <w:rPr>
        <w:rFonts w:ascii="Courier New" w:hAnsi="Courier New" w:cs="Courier New" w:hint="default"/>
      </w:rPr>
    </w:lvl>
    <w:lvl w:ilvl="2" w:tplc="A4C00922" w:tentative="1">
      <w:start w:val="1"/>
      <w:numFmt w:val="bullet"/>
      <w:lvlText w:val=""/>
      <w:lvlJc w:val="left"/>
      <w:pPr>
        <w:ind w:left="2160" w:hanging="360"/>
      </w:pPr>
      <w:rPr>
        <w:rFonts w:ascii="Wingdings" w:hAnsi="Wingdings" w:hint="default"/>
      </w:rPr>
    </w:lvl>
    <w:lvl w:ilvl="3" w:tplc="CB96B2A0" w:tentative="1">
      <w:start w:val="1"/>
      <w:numFmt w:val="bullet"/>
      <w:lvlText w:val=""/>
      <w:lvlJc w:val="left"/>
      <w:pPr>
        <w:ind w:left="2880" w:hanging="360"/>
      </w:pPr>
      <w:rPr>
        <w:rFonts w:ascii="Symbol" w:hAnsi="Symbol" w:hint="default"/>
      </w:rPr>
    </w:lvl>
    <w:lvl w:ilvl="4" w:tplc="19CACB68" w:tentative="1">
      <w:start w:val="1"/>
      <w:numFmt w:val="bullet"/>
      <w:lvlText w:val="o"/>
      <w:lvlJc w:val="left"/>
      <w:pPr>
        <w:ind w:left="3600" w:hanging="360"/>
      </w:pPr>
      <w:rPr>
        <w:rFonts w:ascii="Courier New" w:hAnsi="Courier New" w:cs="Courier New" w:hint="default"/>
      </w:rPr>
    </w:lvl>
    <w:lvl w:ilvl="5" w:tplc="F1A26786" w:tentative="1">
      <w:start w:val="1"/>
      <w:numFmt w:val="bullet"/>
      <w:lvlText w:val=""/>
      <w:lvlJc w:val="left"/>
      <w:pPr>
        <w:ind w:left="4320" w:hanging="360"/>
      </w:pPr>
      <w:rPr>
        <w:rFonts w:ascii="Wingdings" w:hAnsi="Wingdings" w:hint="default"/>
      </w:rPr>
    </w:lvl>
    <w:lvl w:ilvl="6" w:tplc="ECD2CA9E" w:tentative="1">
      <w:start w:val="1"/>
      <w:numFmt w:val="bullet"/>
      <w:lvlText w:val=""/>
      <w:lvlJc w:val="left"/>
      <w:pPr>
        <w:ind w:left="5040" w:hanging="360"/>
      </w:pPr>
      <w:rPr>
        <w:rFonts w:ascii="Symbol" w:hAnsi="Symbol" w:hint="default"/>
      </w:rPr>
    </w:lvl>
    <w:lvl w:ilvl="7" w:tplc="83BAE688" w:tentative="1">
      <w:start w:val="1"/>
      <w:numFmt w:val="bullet"/>
      <w:lvlText w:val="o"/>
      <w:lvlJc w:val="left"/>
      <w:pPr>
        <w:ind w:left="5760" w:hanging="360"/>
      </w:pPr>
      <w:rPr>
        <w:rFonts w:ascii="Courier New" w:hAnsi="Courier New" w:cs="Courier New" w:hint="default"/>
      </w:rPr>
    </w:lvl>
    <w:lvl w:ilvl="8" w:tplc="860E3DFC" w:tentative="1">
      <w:start w:val="1"/>
      <w:numFmt w:val="bullet"/>
      <w:lvlText w:val=""/>
      <w:lvlJc w:val="left"/>
      <w:pPr>
        <w:ind w:left="6480" w:hanging="360"/>
      </w:pPr>
      <w:rPr>
        <w:rFonts w:ascii="Wingdings" w:hAnsi="Wingdings" w:hint="default"/>
      </w:rPr>
    </w:lvl>
  </w:abstractNum>
  <w:abstractNum w:abstractNumId="31" w15:restartNumberingAfterBreak="0">
    <w:nsid w:val="7FCB6DE6"/>
    <w:multiLevelType w:val="hybridMultilevel"/>
    <w:tmpl w:val="A88A4F78"/>
    <w:lvl w:ilvl="0" w:tplc="D610B6E2">
      <w:start w:val="1"/>
      <w:numFmt w:val="bullet"/>
      <w:lvlText w:val=""/>
      <w:lvlJc w:val="left"/>
      <w:pPr>
        <w:ind w:left="720" w:hanging="360"/>
      </w:pPr>
      <w:rPr>
        <w:rFonts w:ascii="Symbol" w:hAnsi="Symbol" w:hint="default"/>
      </w:rPr>
    </w:lvl>
    <w:lvl w:ilvl="1" w:tplc="B52C07BC">
      <w:numFmt w:val="bullet"/>
      <w:lvlText w:val="-"/>
      <w:lvlJc w:val="left"/>
      <w:pPr>
        <w:ind w:left="1440" w:hanging="360"/>
      </w:pPr>
      <w:rPr>
        <w:rFonts w:ascii="Arial" w:eastAsia="Arial" w:hAnsi="Arial" w:cs="Arial" w:hint="default"/>
      </w:rPr>
    </w:lvl>
    <w:lvl w:ilvl="2" w:tplc="F2401D9C" w:tentative="1">
      <w:start w:val="1"/>
      <w:numFmt w:val="bullet"/>
      <w:lvlText w:val=""/>
      <w:lvlJc w:val="left"/>
      <w:pPr>
        <w:ind w:left="2160" w:hanging="360"/>
      </w:pPr>
      <w:rPr>
        <w:rFonts w:ascii="Wingdings" w:hAnsi="Wingdings" w:hint="default"/>
      </w:rPr>
    </w:lvl>
    <w:lvl w:ilvl="3" w:tplc="6A244484" w:tentative="1">
      <w:start w:val="1"/>
      <w:numFmt w:val="bullet"/>
      <w:lvlText w:val=""/>
      <w:lvlJc w:val="left"/>
      <w:pPr>
        <w:ind w:left="2880" w:hanging="360"/>
      </w:pPr>
      <w:rPr>
        <w:rFonts w:ascii="Symbol" w:hAnsi="Symbol" w:hint="default"/>
      </w:rPr>
    </w:lvl>
    <w:lvl w:ilvl="4" w:tplc="FD1EF734" w:tentative="1">
      <w:start w:val="1"/>
      <w:numFmt w:val="bullet"/>
      <w:lvlText w:val="o"/>
      <w:lvlJc w:val="left"/>
      <w:pPr>
        <w:ind w:left="3600" w:hanging="360"/>
      </w:pPr>
      <w:rPr>
        <w:rFonts w:ascii="Courier New" w:hAnsi="Courier New" w:cs="Courier New" w:hint="default"/>
      </w:rPr>
    </w:lvl>
    <w:lvl w:ilvl="5" w:tplc="082E44BE" w:tentative="1">
      <w:start w:val="1"/>
      <w:numFmt w:val="bullet"/>
      <w:lvlText w:val=""/>
      <w:lvlJc w:val="left"/>
      <w:pPr>
        <w:ind w:left="4320" w:hanging="360"/>
      </w:pPr>
      <w:rPr>
        <w:rFonts w:ascii="Wingdings" w:hAnsi="Wingdings" w:hint="default"/>
      </w:rPr>
    </w:lvl>
    <w:lvl w:ilvl="6" w:tplc="9AA4F092" w:tentative="1">
      <w:start w:val="1"/>
      <w:numFmt w:val="bullet"/>
      <w:lvlText w:val=""/>
      <w:lvlJc w:val="left"/>
      <w:pPr>
        <w:ind w:left="5040" w:hanging="360"/>
      </w:pPr>
      <w:rPr>
        <w:rFonts w:ascii="Symbol" w:hAnsi="Symbol" w:hint="default"/>
      </w:rPr>
    </w:lvl>
    <w:lvl w:ilvl="7" w:tplc="9D765BE0" w:tentative="1">
      <w:start w:val="1"/>
      <w:numFmt w:val="bullet"/>
      <w:lvlText w:val="o"/>
      <w:lvlJc w:val="left"/>
      <w:pPr>
        <w:ind w:left="5760" w:hanging="360"/>
      </w:pPr>
      <w:rPr>
        <w:rFonts w:ascii="Courier New" w:hAnsi="Courier New" w:cs="Courier New" w:hint="default"/>
      </w:rPr>
    </w:lvl>
    <w:lvl w:ilvl="8" w:tplc="22AA5E00"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FB"/>
    <w:rsid w:val="000E2EFB"/>
    <w:rsid w:val="0048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014CA-523A-4A52-B1CC-65781509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table" w:customStyle="1" w:styleId="GridTable2-Accent61">
    <w:name w:val="Grid Table 2 - Accent 6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1">
    <w:name w:val="Grid Table 2 - Accent 61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1">
    <w:name w:val="Grid Table 2 - Accent 612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vit.vic.edu.au/"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yperlink" Target="file:///C:\Users\01766196\AppData\Local\Microsoft\Windows\INetCache\IE\2A4TDAHG\www.greensborough.vic.edu.au"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BDBC1E6-ED4E-4A8E-A676-E83B170D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3904</Words>
  <Characters>22253</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Morritt, Angela M</cp:lastModifiedBy>
  <cp:revision>2</cp:revision>
  <dcterms:created xsi:type="dcterms:W3CDTF">2019-06-07T07:12:00Z</dcterms:created>
  <dcterms:modified xsi:type="dcterms:W3CDTF">2019-06-07T07:12:00Z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