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70D" w:rsidRDefault="004632C5" w:rsidP="00A66941">
      <w:pPr>
        <w:ind w:right="419"/>
        <w:rPr>
          <w:b/>
          <w:color w:val="AF272F"/>
          <w:sz w:val="36"/>
          <w:szCs w:val="44"/>
        </w:rPr>
      </w:pPr>
      <w:bookmarkStart w:id="0" w:name="_GoBack"/>
      <w:bookmarkEnd w:id="0"/>
      <w:r>
        <w:rPr>
          <w:noProof/>
          <w:lang w:val="en-AU" w:eastAsia="en-AU"/>
        </w:rPr>
        <w:drawing>
          <wp:anchor distT="0" distB="0" distL="114300" distR="114300" simplePos="0" relativeHeight="251662336" behindDoc="1" locked="0" layoutInCell="1" allowOverlap="1">
            <wp:simplePos x="0" y="0"/>
            <wp:positionH relativeFrom="column">
              <wp:posOffset>4791075</wp:posOffset>
            </wp:positionH>
            <wp:positionV relativeFrom="paragraph">
              <wp:posOffset>24130</wp:posOffset>
            </wp:positionV>
            <wp:extent cx="1854835" cy="627380"/>
            <wp:effectExtent l="0" t="0" r="0" b="1270"/>
            <wp:wrapNone/>
            <wp:docPr id="3" name="img9.png"/>
            <wp:cNvGraphicFramePr/>
            <a:graphic xmlns:a="http://schemas.openxmlformats.org/drawingml/2006/main">
              <a:graphicData uri="http://schemas.openxmlformats.org/drawingml/2006/picture">
                <pic:pic xmlns:pic="http://schemas.openxmlformats.org/drawingml/2006/picture">
                  <pic:nvPicPr>
                    <pic:cNvPr id="7" name="img9.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54835" cy="627380"/>
                    </a:xfrm>
                    <a:prstGeom prst="rect">
                      <a:avLst/>
                    </a:prstGeom>
                  </pic:spPr>
                </pic:pic>
              </a:graphicData>
            </a:graphic>
          </wp:anchor>
        </w:drawing>
      </w:r>
      <w:r w:rsidRPr="003E2621">
        <w:rPr>
          <w:b/>
          <w:noProof/>
          <w:color w:val="AF272F"/>
          <w:sz w:val="36"/>
          <w:szCs w:val="36"/>
        </w:rPr>
        <w:t>2019</w:t>
      </w:r>
      <w:r>
        <w:rPr>
          <w:b/>
          <w:color w:val="AF272F"/>
          <w:sz w:val="36"/>
          <w:szCs w:val="36"/>
        </w:rPr>
        <w:t xml:space="preserve"> </w:t>
      </w:r>
      <w:r w:rsidRPr="003E2621">
        <w:rPr>
          <w:b/>
          <w:color w:val="AF272F"/>
          <w:sz w:val="36"/>
          <w:szCs w:val="44"/>
        </w:rPr>
        <w:t xml:space="preserve">Annual </w:t>
      </w:r>
      <w:r>
        <w:rPr>
          <w:b/>
          <w:color w:val="AF272F"/>
          <w:sz w:val="36"/>
          <w:szCs w:val="44"/>
        </w:rPr>
        <w:t>Report to</w:t>
      </w:r>
    </w:p>
    <w:p w:rsidR="00B076DB" w:rsidRDefault="004632C5" w:rsidP="00A66941">
      <w:pPr>
        <w:ind w:right="419"/>
        <w:rPr>
          <w:color w:val="595959" w:themeColor="text1" w:themeTint="A6"/>
          <w:sz w:val="28"/>
          <w:szCs w:val="28"/>
        </w:rPr>
      </w:pPr>
      <w:r>
        <w:rPr>
          <w:noProof/>
          <w:lang w:val="en-AU" w:eastAsia="en-AU"/>
        </w:rPr>
        <mc:AlternateContent>
          <mc:Choice Requires="wps">
            <w:drawing>
              <wp:anchor distT="0" distB="0" distL="114300" distR="114300" simplePos="0" relativeHeight="251659264" behindDoc="0" locked="0" layoutInCell="1" allowOverlap="1">
                <wp:simplePos x="0" y="0"/>
                <wp:positionH relativeFrom="margin">
                  <wp:posOffset>-71120</wp:posOffset>
                </wp:positionH>
                <wp:positionV relativeFrom="paragraph">
                  <wp:posOffset>2662250</wp:posOffset>
                </wp:positionV>
                <wp:extent cx="7147560" cy="527939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7560" cy="5279390"/>
                        </a:xfrm>
                        <a:prstGeom prst="rect">
                          <a:avLst/>
                        </a:prstGeom>
                        <a:noFill/>
                        <a:ln>
                          <a:noFill/>
                        </a:ln>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773"/>
                            </w:tblGrid>
                            <w:tr w:rsidR="004161F2" w:rsidTr="00130771">
                              <w:trPr>
                                <w:trHeight w:val="18"/>
                              </w:trPr>
                              <w:tc>
                                <w:tcPr>
                                  <w:tcW w:w="10773" w:type="dxa"/>
                                  <w:vAlign w:val="center"/>
                                </w:tcPr>
                                <w:p w:rsidR="00B576DE" w:rsidRPr="009D4C10" w:rsidRDefault="004632C5" w:rsidP="007C1665">
                                  <w:pPr>
                                    <w:numPr>
                                      <w:ilvl w:val="0"/>
                                      <w:numId w:val="25"/>
                                    </w:numPr>
                                    <w:spacing w:after="0" w:line="240" w:lineRule="auto"/>
                                    <w:ind w:left="301"/>
                                  </w:pPr>
                                  <w:r w:rsidRPr="009D4C10">
                                    <w:t>All teachers at the school meet the registration requirements of the Victorian Institute of Teaching (</w:t>
                                  </w:r>
                                  <w:hyperlink r:id="rId13" w:tgtFrame="_blank" w:history="1">
                                    <w:r w:rsidRPr="009D4C10">
                                      <w:rPr>
                                        <w:rStyle w:val="Hyperlink"/>
                                      </w:rPr>
                                      <w:t>www.vit.vic.edu.au</w:t>
                                    </w:r>
                                  </w:hyperlink>
                                  <w:r w:rsidRPr="009D4C10">
                                    <w:t>).</w:t>
                                  </w:r>
                                </w:p>
                                <w:p w:rsidR="00B576DE" w:rsidRPr="009D4C10" w:rsidRDefault="004632C5" w:rsidP="007C1665">
                                  <w:pPr>
                                    <w:numPr>
                                      <w:ilvl w:val="0"/>
                                      <w:numId w:val="25"/>
                                    </w:numPr>
                                    <w:spacing w:after="0" w:line="240" w:lineRule="auto"/>
                                    <w:ind w:left="301"/>
                                  </w:pPr>
                                  <w:r w:rsidRPr="009D4C10">
                                    <w:t xml:space="preserve">The school meets prescribed minimum standards for registration as regulated by the Victorian </w:t>
                                  </w:r>
                                  <w:r>
                                    <w:t>Registration</w:t>
                                  </w:r>
                                  <w:r w:rsidRPr="009D4C10">
                                    <w:t xml:space="preserve"> and Qualifications Authority (VRQA) in accordance with the </w:t>
                                  </w:r>
                                  <w:r w:rsidRPr="003E03A7">
                                    <w:rPr>
                                      <w:i/>
                                      <w:iCs/>
                                    </w:rPr>
                                    <w:t>Education and Training Reform (ETR) Act 2006</w:t>
                                  </w:r>
                                  <w:r w:rsidRPr="009D4C10">
                                    <w:t>. This includes schools granted an exemption by</w:t>
                                  </w:r>
                                  <w:r w:rsidRPr="009D4C10">
                                    <w:t xml:space="preserve"> the VRQA until 31 December </w:t>
                                  </w:r>
                                  <w:r w:rsidRPr="00875D00">
                                    <w:rPr>
                                      <w:noProof/>
                                    </w:rPr>
                                    <w:t>2019</w:t>
                                  </w:r>
                                  <w:r w:rsidRPr="00875D00">
                                    <w:t xml:space="preserve"> from</w:t>
                                  </w:r>
                                  <w:r w:rsidRPr="009D4C10">
                                    <w:t xml:space="preserve"> the minimum standards for student enrolment numbers and/or curriculum framework for school language program.</w:t>
                                  </w:r>
                                </w:p>
                                <w:p w:rsidR="00B576DE" w:rsidRDefault="004632C5" w:rsidP="007C1665">
                                  <w:pPr>
                                    <w:numPr>
                                      <w:ilvl w:val="0"/>
                                      <w:numId w:val="25"/>
                                    </w:numPr>
                                    <w:spacing w:after="0" w:line="240" w:lineRule="auto"/>
                                    <w:ind w:left="301"/>
                                    <w:rPr>
                                      <w:color w:val="333333"/>
                                      <w:sz w:val="16"/>
                                      <w:szCs w:val="16"/>
                                    </w:rPr>
                                  </w:pPr>
                                  <w:r w:rsidRPr="009D4C10">
                                    <w:t xml:space="preserve">The school is compliant with the Child Safe Standards prescribed in </w:t>
                                  </w:r>
                                  <w:r w:rsidRPr="00BB2D86">
                                    <w:rPr>
                                      <w:i/>
                                      <w:iCs/>
                                    </w:rPr>
                                    <w:t>Ministerial Order No. 870 – Child Safe St</w:t>
                                  </w:r>
                                  <w:r w:rsidRPr="00BB2D86">
                                    <w:rPr>
                                      <w:i/>
                                      <w:iCs/>
                                    </w:rPr>
                                    <w:t>andards, Managing Risk of Child Abuse in School</w:t>
                                  </w:r>
                                  <w:r>
                                    <w:t>.</w:t>
                                  </w:r>
                                </w:p>
                              </w:tc>
                            </w:tr>
                            <w:tr w:rsidR="004161F2" w:rsidTr="00130771">
                              <w:trPr>
                                <w:trHeight w:val="48"/>
                              </w:trPr>
                              <w:tc>
                                <w:tcPr>
                                  <w:tcW w:w="10773" w:type="dxa"/>
                                </w:tcPr>
                                <w:p w:rsidR="00B576DE" w:rsidRDefault="004632C5"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31 August 2020 at 10:51 AM by Angela Morritt (Principal)</w:t>
                                  </w:r>
                                </w:p>
                              </w:tc>
                            </w:tr>
                          </w:tbl>
                          <w:p w:rsidR="00B576DE" w:rsidRDefault="004632C5" w:rsidP="00177D7F"/>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773"/>
                            </w:tblGrid>
                            <w:tr w:rsidR="004161F2" w:rsidTr="00130771">
                              <w:trPr>
                                <w:trHeight w:val="114"/>
                              </w:trPr>
                              <w:tc>
                                <w:tcPr>
                                  <w:tcW w:w="10773" w:type="dxa"/>
                                  <w:vAlign w:val="center"/>
                                </w:tcPr>
                                <w:p w:rsidR="00B576DE" w:rsidRPr="00B576DE" w:rsidRDefault="004632C5" w:rsidP="00B576DE">
                                  <w:pPr>
                                    <w:spacing w:after="0" w:line="240" w:lineRule="auto"/>
                                  </w:pPr>
                                  <w:r w:rsidRPr="00B576DE">
                                    <w:t>The</w:t>
                                  </w:r>
                                  <w:r w:rsidRPr="009D4C10">
                                    <w:t xml:space="preserve"> </w:t>
                                  </w:r>
                                  <w:r w:rsidRPr="00875D00">
                                    <w:rPr>
                                      <w:noProof/>
                                    </w:rPr>
                                    <w:t>2019</w:t>
                                  </w:r>
                                  <w:r w:rsidRPr="00875D00">
                                    <w:t xml:space="preserve"> </w:t>
                                  </w:r>
                                  <w:r w:rsidRPr="00B576DE">
                                    <w:t>Annual Report to the school community:</w:t>
                                  </w:r>
                                </w:p>
                                <w:p w:rsidR="00B576DE" w:rsidRPr="009D4C10" w:rsidRDefault="004632C5" w:rsidP="007C1665">
                                  <w:pPr>
                                    <w:numPr>
                                      <w:ilvl w:val="0"/>
                                      <w:numId w:val="26"/>
                                    </w:numPr>
                                    <w:spacing w:after="0" w:line="240" w:lineRule="auto"/>
                                    <w:ind w:left="301"/>
                                    <w:rPr>
                                      <w:color w:val="333333"/>
                                    </w:rPr>
                                  </w:pPr>
                                  <w:r w:rsidRPr="00B576DE">
                                    <w:rPr>
                                      <w:color w:val="333333"/>
                                    </w:rPr>
                                    <w:t>has been tabled and endorsed at a meeting of the school council</w:t>
                                  </w:r>
                                </w:p>
                                <w:p w:rsidR="00B576DE" w:rsidRDefault="004632C5" w:rsidP="007C1665">
                                  <w:pPr>
                                    <w:numPr>
                                      <w:ilvl w:val="0"/>
                                      <w:numId w:val="26"/>
                                    </w:numPr>
                                    <w:spacing w:after="0" w:line="240" w:lineRule="auto"/>
                                    <w:ind w:left="301"/>
                                    <w:rPr>
                                      <w:color w:val="333333"/>
                                      <w:sz w:val="16"/>
                                      <w:szCs w:val="16"/>
                                    </w:rPr>
                                  </w:pPr>
                                  <w:r w:rsidRPr="00B576DE">
                                    <w:rPr>
                                      <w:color w:val="333333"/>
                                    </w:rPr>
                                    <w:t>will be publicly shared</w:t>
                                  </w:r>
                                  <w:r w:rsidRPr="00B576DE">
                                    <w:rPr>
                                      <w:color w:val="333333"/>
                                    </w:rPr>
                                    <w:t xml:space="preserve"> with the school community</w:t>
                                  </w:r>
                                  <w:r>
                                    <w:rPr>
                                      <w:color w:val="333333"/>
                                    </w:rPr>
                                    <w:t>.</w:t>
                                  </w:r>
                                </w:p>
                              </w:tc>
                            </w:tr>
                            <w:tr w:rsidR="004161F2" w:rsidTr="00130771">
                              <w:trPr>
                                <w:trHeight w:val="274"/>
                              </w:trPr>
                              <w:tc>
                                <w:tcPr>
                                  <w:tcW w:w="10773" w:type="dxa"/>
                                </w:tcPr>
                                <w:p w:rsidR="00B576DE" w:rsidRDefault="004632C5"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31 August 2020 at 06:43 PM by Kim Hill (School Council President)</w:t>
                                  </w:r>
                                </w:p>
                              </w:tc>
                            </w:tr>
                          </w:tbl>
                          <w:p w:rsidR="00B576DE" w:rsidRDefault="004632C5" w:rsidP="00177D7F"/>
                        </w:txbxContent>
                      </wps:txbx>
                      <wps:bodyPr rot="0" vert="horz"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6pt;margin-top:209.65pt;width:562.8pt;height:415.7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" filled="f" fillcolor="white [3201]" stroked="f" strokeweight=".5pt">
                <v:textbox>
                  <w:txbxContent>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773"/>
                      </w:tblGrid>
                      <w:tr w:rsidR="004161F2" w:rsidTr="00130771">
                        <w:trPr>
                          <w:trHeight w:val="18"/>
                        </w:trPr>
                        <w:tc>
                          <w:tcPr>
                            <w:tcW w:w="10773" w:type="dxa"/>
                            <w:vAlign w:val="center"/>
                          </w:tcPr>
                          <w:p w:rsidR="00B576DE" w:rsidRPr="009D4C10" w:rsidRDefault="004632C5" w:rsidP="007C1665">
                            <w:pPr>
                              <w:numPr>
                                <w:ilvl w:val="0"/>
                                <w:numId w:val="25"/>
                              </w:numPr>
                              <w:spacing w:after="0" w:line="240" w:lineRule="auto"/>
                              <w:ind w:left="301"/>
                            </w:pPr>
                            <w:r w:rsidRPr="009D4C10">
                              <w:t>All teachers at the school meet the registration requirements of the Victorian Institute of Teaching (</w:t>
                            </w:r>
                            <w:hyperlink r:id="rId14" w:tgtFrame="_blank" w:history="1">
                              <w:r w:rsidRPr="009D4C10">
                                <w:rPr>
                                  <w:rStyle w:val="Hyperlink"/>
                                </w:rPr>
                                <w:t>www.vit.vic.edu.au</w:t>
                              </w:r>
                            </w:hyperlink>
                            <w:r w:rsidRPr="009D4C10">
                              <w:t>).</w:t>
                            </w:r>
                          </w:p>
                          <w:p w:rsidR="00B576DE" w:rsidRPr="009D4C10" w:rsidRDefault="004632C5" w:rsidP="007C1665">
                            <w:pPr>
                              <w:numPr>
                                <w:ilvl w:val="0"/>
                                <w:numId w:val="25"/>
                              </w:numPr>
                              <w:spacing w:after="0" w:line="240" w:lineRule="auto"/>
                              <w:ind w:left="301"/>
                            </w:pPr>
                            <w:r w:rsidRPr="009D4C10">
                              <w:t xml:space="preserve">The school meets prescribed minimum standards for registration as regulated by the Victorian </w:t>
                            </w:r>
                            <w:r>
                              <w:t>Registration</w:t>
                            </w:r>
                            <w:r w:rsidRPr="009D4C10">
                              <w:t xml:space="preserve"> and Qualifications Authority (VRQA) in accordance with the </w:t>
                            </w:r>
                            <w:r w:rsidRPr="003E03A7">
                              <w:rPr>
                                <w:i/>
                                <w:iCs/>
                              </w:rPr>
                              <w:t>Education and Training Reform (ETR) Act 2006</w:t>
                            </w:r>
                            <w:r w:rsidRPr="009D4C10">
                              <w:t>. This includes schools granted an exemption by</w:t>
                            </w:r>
                            <w:r w:rsidRPr="009D4C10">
                              <w:t xml:space="preserve"> the VRQA until 31 December </w:t>
                            </w:r>
                            <w:r w:rsidRPr="00875D00">
                              <w:rPr>
                                <w:noProof/>
                              </w:rPr>
                              <w:t>2019</w:t>
                            </w:r>
                            <w:r w:rsidRPr="00875D00">
                              <w:t xml:space="preserve"> from</w:t>
                            </w:r>
                            <w:r w:rsidRPr="009D4C10">
                              <w:t xml:space="preserve"> the minimum standards for student enrolment numbers and/or curriculum framework for school language program.</w:t>
                            </w:r>
                          </w:p>
                          <w:p w:rsidR="00B576DE" w:rsidRDefault="004632C5" w:rsidP="007C1665">
                            <w:pPr>
                              <w:numPr>
                                <w:ilvl w:val="0"/>
                                <w:numId w:val="25"/>
                              </w:numPr>
                              <w:spacing w:after="0" w:line="240" w:lineRule="auto"/>
                              <w:ind w:left="301"/>
                              <w:rPr>
                                <w:color w:val="333333"/>
                                <w:sz w:val="16"/>
                                <w:szCs w:val="16"/>
                              </w:rPr>
                            </w:pPr>
                            <w:r w:rsidRPr="009D4C10">
                              <w:t xml:space="preserve">The school is compliant with the Child Safe Standards prescribed in </w:t>
                            </w:r>
                            <w:r w:rsidRPr="00BB2D86">
                              <w:rPr>
                                <w:i/>
                                <w:iCs/>
                              </w:rPr>
                              <w:t>Ministerial Order No. 870 – Child Safe St</w:t>
                            </w:r>
                            <w:r w:rsidRPr="00BB2D86">
                              <w:rPr>
                                <w:i/>
                                <w:iCs/>
                              </w:rPr>
                              <w:t>andards, Managing Risk of Child Abuse in School</w:t>
                            </w:r>
                            <w:r>
                              <w:t>.</w:t>
                            </w:r>
                          </w:p>
                        </w:tc>
                      </w:tr>
                      <w:tr w:rsidR="004161F2" w:rsidTr="00130771">
                        <w:trPr>
                          <w:trHeight w:val="48"/>
                        </w:trPr>
                        <w:tc>
                          <w:tcPr>
                            <w:tcW w:w="10773" w:type="dxa"/>
                          </w:tcPr>
                          <w:p w:rsidR="00B576DE" w:rsidRDefault="004632C5"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31 August 2020 at 10:51 AM by Angela Morritt (Principal)</w:t>
                            </w:r>
                          </w:p>
                        </w:tc>
                      </w:tr>
                    </w:tbl>
                    <w:p w:rsidR="00B576DE" w:rsidRDefault="004632C5" w:rsidP="00177D7F"/>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773"/>
                      </w:tblGrid>
                      <w:tr w:rsidR="004161F2" w:rsidTr="00130771">
                        <w:trPr>
                          <w:trHeight w:val="114"/>
                        </w:trPr>
                        <w:tc>
                          <w:tcPr>
                            <w:tcW w:w="10773" w:type="dxa"/>
                            <w:vAlign w:val="center"/>
                          </w:tcPr>
                          <w:p w:rsidR="00B576DE" w:rsidRPr="00B576DE" w:rsidRDefault="004632C5" w:rsidP="00B576DE">
                            <w:pPr>
                              <w:spacing w:after="0" w:line="240" w:lineRule="auto"/>
                            </w:pPr>
                            <w:r w:rsidRPr="00B576DE">
                              <w:t>The</w:t>
                            </w:r>
                            <w:r w:rsidRPr="009D4C10">
                              <w:t xml:space="preserve"> </w:t>
                            </w:r>
                            <w:r w:rsidRPr="00875D00">
                              <w:rPr>
                                <w:noProof/>
                              </w:rPr>
                              <w:t>2019</w:t>
                            </w:r>
                            <w:r w:rsidRPr="00875D00">
                              <w:t xml:space="preserve"> </w:t>
                            </w:r>
                            <w:r w:rsidRPr="00B576DE">
                              <w:t>Annual Report to the school community:</w:t>
                            </w:r>
                          </w:p>
                          <w:p w:rsidR="00B576DE" w:rsidRPr="009D4C10" w:rsidRDefault="004632C5" w:rsidP="007C1665">
                            <w:pPr>
                              <w:numPr>
                                <w:ilvl w:val="0"/>
                                <w:numId w:val="26"/>
                              </w:numPr>
                              <w:spacing w:after="0" w:line="240" w:lineRule="auto"/>
                              <w:ind w:left="301"/>
                              <w:rPr>
                                <w:color w:val="333333"/>
                              </w:rPr>
                            </w:pPr>
                            <w:r w:rsidRPr="00B576DE">
                              <w:rPr>
                                <w:color w:val="333333"/>
                              </w:rPr>
                              <w:t>has been tabled and endorsed at a meeting of the school council</w:t>
                            </w:r>
                          </w:p>
                          <w:p w:rsidR="00B576DE" w:rsidRDefault="004632C5" w:rsidP="007C1665">
                            <w:pPr>
                              <w:numPr>
                                <w:ilvl w:val="0"/>
                                <w:numId w:val="26"/>
                              </w:numPr>
                              <w:spacing w:after="0" w:line="240" w:lineRule="auto"/>
                              <w:ind w:left="301"/>
                              <w:rPr>
                                <w:color w:val="333333"/>
                                <w:sz w:val="16"/>
                                <w:szCs w:val="16"/>
                              </w:rPr>
                            </w:pPr>
                            <w:r w:rsidRPr="00B576DE">
                              <w:rPr>
                                <w:color w:val="333333"/>
                              </w:rPr>
                              <w:t>will be publicly shared</w:t>
                            </w:r>
                            <w:r w:rsidRPr="00B576DE">
                              <w:rPr>
                                <w:color w:val="333333"/>
                              </w:rPr>
                              <w:t xml:space="preserve"> with the school community</w:t>
                            </w:r>
                            <w:r>
                              <w:rPr>
                                <w:color w:val="333333"/>
                              </w:rPr>
                              <w:t>.</w:t>
                            </w:r>
                          </w:p>
                        </w:tc>
                      </w:tr>
                      <w:tr w:rsidR="004161F2" w:rsidTr="00130771">
                        <w:trPr>
                          <w:trHeight w:val="274"/>
                        </w:trPr>
                        <w:tc>
                          <w:tcPr>
                            <w:tcW w:w="10773" w:type="dxa"/>
                          </w:tcPr>
                          <w:p w:rsidR="00B576DE" w:rsidRDefault="004632C5"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31 August 2020 at 06:43 PM by Kim Hill (School Council President)</w:t>
                            </w:r>
                          </w:p>
                        </w:tc>
                      </w:tr>
                    </w:tbl>
                    <w:p w:rsidR="00B576DE" w:rsidRDefault="004632C5" w:rsidP="00177D7F"/>
                  </w:txbxContent>
                </v:textbox>
                <w10:wrap anchorx="margin"/>
              </v:shape>
            </w:pict>
          </mc:Fallback>
        </mc:AlternateContent>
      </w:r>
      <w:r w:rsidRPr="00BE480F">
        <w:rPr>
          <w:noProof/>
          <w:lang w:val="en-AU" w:eastAsia="en-AU"/>
        </w:rPr>
        <w:drawing>
          <wp:anchor distT="0" distB="0" distL="114300" distR="114300" simplePos="0" relativeHeight="251661312" behindDoc="1" locked="0" layoutInCell="1" allowOverlap="1">
            <wp:simplePos x="0" y="0"/>
            <wp:positionH relativeFrom="margin">
              <wp:posOffset>-354965</wp:posOffset>
            </wp:positionH>
            <wp:positionV relativeFrom="paragraph">
              <wp:posOffset>5173345</wp:posOffset>
            </wp:positionV>
            <wp:extent cx="1819275" cy="4406265"/>
            <wp:effectExtent l="0" t="0" r="9525" b="0"/>
            <wp:wrapNone/>
            <wp:docPr id="5" name="img10.png"/>
            <wp:cNvGraphicFramePr/>
            <a:graphic xmlns:a="http://schemas.openxmlformats.org/drawingml/2006/main">
              <a:graphicData uri="http://schemas.openxmlformats.org/drawingml/2006/picture">
                <pic:pic xmlns:pic="http://schemas.openxmlformats.org/drawingml/2006/picture">
                  <pic:nvPicPr>
                    <pic:cNvPr id="9" name="img10.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19275" cy="4406265"/>
                    </a:xfrm>
                    <a:prstGeom prst="rect">
                      <a:avLst/>
                    </a:prstGeom>
                  </pic:spPr>
                </pic:pic>
              </a:graphicData>
            </a:graphic>
          </wp:anchor>
        </w:drawing>
      </w:r>
      <w:r>
        <w:rPr>
          <w:b/>
          <w:color w:val="AF272F"/>
          <w:sz w:val="36"/>
          <w:szCs w:val="44"/>
        </w:rPr>
        <w:t>The School Community</w:t>
      </w:r>
      <w:r>
        <w:rPr>
          <w:b/>
          <w:color w:val="AF272F"/>
          <w:sz w:val="36"/>
          <w:szCs w:val="44"/>
        </w:rPr>
        <w:br/>
      </w:r>
      <w:r>
        <w:rPr>
          <w:b/>
          <w:color w:val="AF272F"/>
          <w:sz w:val="32"/>
          <w:szCs w:val="32"/>
        </w:rPr>
        <w:br/>
      </w:r>
      <w:r w:rsidRPr="009B22B6">
        <w:rPr>
          <w:b/>
          <w:noProof/>
          <w:color w:val="AF272F"/>
          <w:sz w:val="28"/>
          <w:szCs w:val="28"/>
        </w:rPr>
        <w:t>School</w:t>
      </w:r>
      <w:r w:rsidRPr="009B22B6">
        <w:rPr>
          <w:b/>
          <w:noProof/>
          <w:color w:val="AF272F"/>
          <w:sz w:val="28"/>
          <w:szCs w:val="28"/>
        </w:rPr>
        <w:t xml:space="preserve"> </w:t>
      </w:r>
      <w:r w:rsidRPr="009B22B6">
        <w:rPr>
          <w:b/>
          <w:noProof/>
          <w:color w:val="AF272F"/>
          <w:sz w:val="28"/>
          <w:szCs w:val="28"/>
        </w:rPr>
        <w:t xml:space="preserve">Name: </w:t>
      </w:r>
      <w:r w:rsidRPr="009B22B6">
        <w:rPr>
          <w:b/>
          <w:noProof/>
          <w:color w:val="AF272F"/>
          <w:sz w:val="28"/>
          <w:szCs w:val="28"/>
        </w:rPr>
        <w:t>Greensborough Primary School (2062)</w:t>
      </w:r>
      <w:r>
        <w:rPr>
          <w:color w:val="595959" w:themeColor="text1" w:themeTint="A6"/>
          <w:sz w:val="28"/>
          <w:szCs w:val="28"/>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6946"/>
      </w:tblGrid>
      <w:tr w:rsidR="004161F2" w:rsidTr="00130771">
        <w:trPr>
          <w:trHeight w:val="11387"/>
        </w:trPr>
        <w:tc>
          <w:tcPr>
            <w:tcW w:w="3544" w:type="dxa"/>
          </w:tcPr>
          <w:p w:rsidR="00BE480F" w:rsidRPr="00BE480F" w:rsidRDefault="004632C5" w:rsidP="00A074DE">
            <w:pPr>
              <w:ind w:left="-509" w:right="419"/>
              <w:jc w:val="center"/>
              <w:rPr>
                <w:color w:val="595959" w:themeColor="text1" w:themeTint="A6"/>
              </w:rPr>
            </w:pPr>
            <w:r>
              <w:rPr>
                <w:noProof/>
                <w:color w:val="595959" w:themeColor="text1" w:themeTint="A6"/>
                <w:lang w:val="en-AU" w:eastAsia="en-AU"/>
              </w:rPr>
              <w:drawing>
                <wp:anchor distT="0" distB="0" distL="114300" distR="114300" simplePos="0" relativeHeight="251660288" behindDoc="1" locked="0" layoutInCell="1" allowOverlap="1">
                  <wp:simplePos x="0" y="0"/>
                  <wp:positionH relativeFrom="page">
                    <wp:align>left</wp:align>
                  </wp:positionH>
                  <wp:positionV relativeFrom="paragraph">
                    <wp:posOffset>0</wp:posOffset>
                  </wp:positionV>
                  <wp:extent cx="1428949" cy="1238423"/>
                  <wp:effectExtent l="0" t="0" r="0" b="0"/>
                  <wp:wrapNone/>
                  <wp:docPr id="100020" name="Picture 100020"/>
                  <wp:cNvGraphicFramePr/>
                  <a:graphic xmlns:a="http://schemas.openxmlformats.org/drawingml/2006/main">
                    <a:graphicData uri="http://schemas.openxmlformats.org/drawingml/2006/picture">
                      <pic:pic xmlns:pic="http://schemas.openxmlformats.org/drawingml/2006/picture">
                        <pic:nvPicPr>
                          <pic:cNvPr id="100020" name=""/>
                          <pic:cNvPicPr/>
                        </pic:nvPicPr>
                        <pic:blipFill>
                          <a:blip r:embed="rId16"/>
                          <a:stretch>
                            <a:fillRect/>
                          </a:stretch>
                        </pic:blipFill>
                        <pic:spPr>
                          <a:xfrm>
                            <a:off x="0" y="0"/>
                            <a:ext cx="1428949" cy="1238423"/>
                          </a:xfrm>
                          <a:prstGeom prst="rect">
                            <a:avLst/>
                          </a:prstGeom>
                        </pic:spPr>
                      </pic:pic>
                    </a:graphicData>
                  </a:graphic>
                </wp:anchor>
              </w:drawing>
            </w:r>
          </w:p>
        </w:tc>
        <w:tc>
          <w:tcPr>
            <w:tcW w:w="6946" w:type="dxa"/>
          </w:tcPr>
          <w:p w:rsidR="00BE480F" w:rsidRDefault="004632C5" w:rsidP="006932E3">
            <w:pPr>
              <w:ind w:right="419"/>
              <w:rPr>
                <w:color w:val="595959" w:themeColor="text1" w:themeTint="A6"/>
              </w:rPr>
            </w:pPr>
          </w:p>
        </w:tc>
      </w:tr>
    </w:tbl>
    <w:p w:rsidR="00BE480F" w:rsidRDefault="004632C5" w:rsidP="00AF1438">
      <w:pPr>
        <w:ind w:left="540" w:right="419"/>
        <w:rPr>
          <w:color w:val="595959" w:themeColor="text1" w:themeTint="A6"/>
        </w:rPr>
      </w:pPr>
    </w:p>
    <w:p w:rsidR="00481904" w:rsidRDefault="004632C5" w:rsidP="00BF76C7">
      <w:pPr>
        <w:pStyle w:val="ESHeading2"/>
        <w:jc w:val="center"/>
        <w:sectPr w:rsidR="00481904" w:rsidSect="00B402B7">
          <w:headerReference w:type="even" r:id="rId17"/>
          <w:headerReference w:type="default" r:id="rId18"/>
          <w:footerReference w:type="even" r:id="rId19"/>
          <w:footerReference w:type="default" r:id="rId20"/>
          <w:headerReference w:type="first" r:id="rId21"/>
          <w:pgSz w:w="11906" w:h="16838" w:code="9"/>
          <w:pgMar w:top="1005" w:right="737" w:bottom="1304" w:left="562" w:header="624" w:footer="1134" w:gutter="0"/>
          <w:cols w:space="397"/>
          <w:docGrid w:linePitch="360"/>
        </w:sectPr>
      </w:pPr>
    </w:p>
    <w:p w:rsidR="00BF76C7" w:rsidRPr="00242590" w:rsidRDefault="004632C5" w:rsidP="00B42C9B">
      <w:pPr>
        <w:ind w:left="-540" w:right="-632"/>
        <w:jc w:val="center"/>
        <w:rPr>
          <w:b/>
          <w:color w:val="AF272F"/>
          <w:sz w:val="32"/>
          <w:szCs w:val="32"/>
        </w:rPr>
      </w:pPr>
      <w:r>
        <w:rPr>
          <w:b/>
          <w:color w:val="AF272F"/>
          <w:sz w:val="36"/>
          <w:szCs w:val="44"/>
        </w:rPr>
        <w:lastRenderedPageBreak/>
        <w:t>About Our School</w:t>
      </w:r>
    </w:p>
    <w:p w:rsidR="0038585D" w:rsidRPr="00864EAA" w:rsidRDefault="004632C5" w:rsidP="00A20DEB">
      <w:pPr>
        <w:pStyle w:val="ESIntroParagraph"/>
        <w:ind w:left="-567" w:right="1708" w:firstLine="27"/>
        <w:rPr>
          <w:color w:val="595959" w:themeColor="text1" w:themeTint="A6"/>
          <w:sz w:val="18"/>
          <w:szCs w:val="18"/>
        </w:rPr>
      </w:pPr>
    </w:p>
    <w:tbl>
      <w:tblPr>
        <w:tblStyle w:val="TableGrid"/>
        <w:tblW w:w="10774" w:type="dxa"/>
        <w:tblInd w:w="-714" w:type="dxa"/>
        <w:tblCellMar>
          <w:top w:w="115" w:type="dxa"/>
          <w:left w:w="115" w:type="dxa"/>
          <w:bottom w:w="115" w:type="dxa"/>
          <w:right w:w="115" w:type="dxa"/>
        </w:tblCellMar>
        <w:tblLook w:val="04A0" w:firstRow="1" w:lastRow="0" w:firstColumn="1" w:lastColumn="0" w:noHBand="0" w:noVBand="1"/>
      </w:tblPr>
      <w:tblGrid>
        <w:gridCol w:w="10774"/>
      </w:tblGrid>
      <w:tr w:rsidR="004161F2" w:rsidTr="003329F2">
        <w:trPr>
          <w:trHeight w:val="15"/>
        </w:trPr>
        <w:tc>
          <w:tcPr>
            <w:tcW w:w="10774" w:type="dxa"/>
            <w:shd w:val="clear" w:color="auto" w:fill="D9D9D9" w:themeFill="background1" w:themeFillShade="D9"/>
          </w:tcPr>
          <w:p w:rsidR="00777DB2" w:rsidRPr="001C2589" w:rsidRDefault="004632C5" w:rsidP="00994A0F">
            <w:pPr>
              <w:pStyle w:val="Heading3"/>
              <w:spacing w:before="0" w:after="0"/>
              <w:rPr>
                <w:sz w:val="24"/>
                <w:szCs w:val="24"/>
              </w:rPr>
            </w:pPr>
            <w:r w:rsidRPr="005206F9">
              <w:rPr>
                <w:sz w:val="22"/>
                <w:szCs w:val="22"/>
              </w:rPr>
              <w:t xml:space="preserve">School </w:t>
            </w:r>
            <w:r>
              <w:rPr>
                <w:sz w:val="22"/>
                <w:szCs w:val="22"/>
              </w:rPr>
              <w:t>context</w:t>
            </w:r>
          </w:p>
        </w:tc>
      </w:tr>
      <w:tr w:rsidR="004161F2" w:rsidTr="003329F2">
        <w:trPr>
          <w:trHeight w:val="15"/>
        </w:trPr>
        <w:tc>
          <w:tcPr>
            <w:tcW w:w="10774" w:type="dxa"/>
            <w:shd w:val="clear" w:color="auto" w:fill="FFFFFF" w:themeFill="background1"/>
          </w:tcPr>
          <w:p w:rsidR="00777DB2" w:rsidRPr="005A75E6" w:rsidRDefault="004632C5" w:rsidP="00994A0F">
            <w:pPr>
              <w:pStyle w:val="Heading3"/>
              <w:spacing w:before="0" w:after="0"/>
              <w:rPr>
                <w:b w:val="0"/>
                <w:szCs w:val="20"/>
              </w:rPr>
            </w:pPr>
            <w:r>
              <w:rPr>
                <w:b w:val="0"/>
              </w:rPr>
              <w:t xml:space="preserve">During 2019 the staff, parents and students of Greensborough Primary continued to work together to ensure that there was a </w:t>
            </w:r>
            <w:r>
              <w:rPr>
                <w:b w:val="0"/>
              </w:rPr>
              <w:t>nurturing and supportive school environment where all stakeholders were recognized for their strengths.  The school’s values of Cooperation, Achievement, Respect and Empathy are embedded in all instructional and social programs within the school with the v</w:t>
            </w:r>
            <w:r>
              <w:rPr>
                <w:b w:val="0"/>
              </w:rPr>
              <w:t>alues being an integral component of the whole school start-up program implemented at the commencement of the school year. Comprehensive and engaging curriculum programs were provided to assist all students to have the opportunity to achieve positive acade</w:t>
            </w:r>
            <w:r>
              <w:rPr>
                <w:b w:val="0"/>
              </w:rPr>
              <w:t>mic, social and emotional learning outcomes. The school has a highly involved and committed parent community with the school’s overall socio-economic profile being in the Mid-range.</w:t>
            </w:r>
            <w:r>
              <w:rPr>
                <w:b w:val="0"/>
              </w:rPr>
              <w:br/>
              <w:t>Greensborough Primary is located in the northern suburbs of Melbourne loca</w:t>
            </w:r>
            <w:r>
              <w:rPr>
                <w:b w:val="0"/>
              </w:rPr>
              <w:t>ted 22km from the CBD. The existing school buildings continue to be state of the art with large airy classrooms, which open onto landscaped outdoor learning areas. Indoor wet areas, a purpose built library, visual arts classroom, canteen and hall are all c</w:t>
            </w:r>
            <w:r>
              <w:rPr>
                <w:b w:val="0"/>
              </w:rPr>
              <w:t>ontained within the one Architect Designed building. During 2019 the school’s committed Buildings and Grounds committee continued to build upon the achievements of the major upgrade in 2017 with the refurbishment of the Numeracy Room and Sick Bay, the inst</w:t>
            </w:r>
            <w:r>
              <w:rPr>
                <w:b w:val="0"/>
              </w:rPr>
              <w:t>allation of an artificial turf surface on the basketball court, interior and exterior painting and extensive planting of garden beds in the school .The school is continually upgrading its grounds with the addition of outdoor learning areas, passive play ar</w:t>
            </w:r>
            <w:r>
              <w:rPr>
                <w:b w:val="0"/>
              </w:rPr>
              <w:t>eas and sandpits and the establishment of an environmental garden area. The original school building, which has heritage listing, provides the venue for STEM (Science, Technology, Engineering and Maths), Chinese and Music classes. The school continued to e</w:t>
            </w:r>
            <w:r>
              <w:rPr>
                <w:b w:val="0"/>
              </w:rPr>
              <w:t>xtend its Chinese language program by hosting students from China with a range of cultural and creative programs facilitating the exchange of ideas and language skills.</w:t>
            </w:r>
            <w:r>
              <w:rPr>
                <w:b w:val="0"/>
              </w:rPr>
              <w:br/>
              <w:t xml:space="preserve">The school’s commitment to Student Welfare and Wellbeing was demonstrated in 2019 with </w:t>
            </w:r>
            <w:r>
              <w:rPr>
                <w:b w:val="0"/>
              </w:rPr>
              <w:t>the continued implementation of the Friendship Tree and Student Wellbeing Leaders Program, the ongoing commitment to the PATHS program across the school and Professional Development in Respectful Relationships and Disability Standards. To support student e</w:t>
            </w:r>
            <w:r>
              <w:rPr>
                <w:b w:val="0"/>
              </w:rPr>
              <w:t>ngagement the school implemented an excursions and camping program, Junior School Council initiatives, the Grade Six /Prep Buddy program and events throughout the year such as the Easter Hat activities morning and festivities associated with Book Week.</w:t>
            </w:r>
            <w:r>
              <w:rPr>
                <w:b w:val="0"/>
              </w:rPr>
              <w:br/>
              <w:t xml:space="preserve">In </w:t>
            </w:r>
            <w:r>
              <w:rPr>
                <w:b w:val="0"/>
              </w:rPr>
              <w:t xml:space="preserve">2019 the school had 165 students with five full time and four part time class teachers, a Literacy Support specialist and four specialist teachers in the areas of Library, Visual Arts, STEM and Chinese,. Seven Educational Support staff provided one on one </w:t>
            </w:r>
            <w:r>
              <w:rPr>
                <w:b w:val="0"/>
              </w:rPr>
              <w:t>support for students with specific learning needs and facilitated intervention and extension programs for small groups of students. All students in Grades Three to Six were involved in the Spelling Mastery program.  Those students identified as requiring a</w:t>
            </w:r>
            <w:r>
              <w:rPr>
                <w:b w:val="0"/>
              </w:rPr>
              <w:t>dditional support were involved in the Corrective Reading Program and, across the school, the VCOP writing program implemented in 2014 continued.  The Magic Maths program, first implemented at the school in 2014, continued to achieve positive outcomes with</w:t>
            </w:r>
            <w:r>
              <w:rPr>
                <w:b w:val="0"/>
              </w:rPr>
              <w:t xml:space="preserve"> students engaged for three hours per week in an explicit, focused number program where the curriculum and outcomes were tightly structured and scaffolded, to ensure maximum understanding and growth.</w:t>
            </w:r>
            <w:r>
              <w:rPr>
                <w:b w:val="0"/>
              </w:rPr>
              <w:br/>
              <w:t>Survey results from the Parent Satisfaction Summary were</w:t>
            </w:r>
            <w:r>
              <w:rPr>
                <w:b w:val="0"/>
              </w:rPr>
              <w:t xml:space="preserve"> above the median of all government primary schools and School Staff survey results were also above the median of all government primary schools.</w:t>
            </w:r>
            <w:r>
              <w:rPr>
                <w:b w:val="0"/>
              </w:rPr>
              <w:br/>
            </w:r>
          </w:p>
        </w:tc>
      </w:tr>
      <w:tr w:rsidR="004161F2" w:rsidTr="003329F2">
        <w:trPr>
          <w:trHeight w:val="15"/>
        </w:trPr>
        <w:tc>
          <w:tcPr>
            <w:tcW w:w="10774" w:type="dxa"/>
            <w:shd w:val="clear" w:color="auto" w:fill="D9D9D9" w:themeFill="background1" w:themeFillShade="D9"/>
          </w:tcPr>
          <w:p w:rsidR="00777DB2" w:rsidRDefault="004632C5" w:rsidP="00994A0F">
            <w:pPr>
              <w:pStyle w:val="Heading3"/>
              <w:spacing w:before="0" w:after="0"/>
              <w:rPr>
                <w:szCs w:val="20"/>
              </w:rPr>
            </w:pPr>
            <w:r w:rsidRPr="00D3162B">
              <w:rPr>
                <w:sz w:val="22"/>
                <w:szCs w:val="22"/>
              </w:rPr>
              <w:t>Framework for Improving Student Outcomes (FISO)</w:t>
            </w:r>
          </w:p>
        </w:tc>
      </w:tr>
      <w:tr w:rsidR="004161F2" w:rsidTr="003329F2">
        <w:trPr>
          <w:trHeight w:val="15"/>
        </w:trPr>
        <w:tc>
          <w:tcPr>
            <w:tcW w:w="10774" w:type="dxa"/>
            <w:shd w:val="clear" w:color="auto" w:fill="FFFFFF" w:themeFill="background1"/>
          </w:tcPr>
          <w:p w:rsidR="00777DB2" w:rsidRPr="005A75E6" w:rsidRDefault="004632C5" w:rsidP="00994A0F">
            <w:pPr>
              <w:pStyle w:val="Heading3"/>
              <w:spacing w:before="0" w:after="0"/>
              <w:rPr>
                <w:b w:val="0"/>
                <w:szCs w:val="20"/>
              </w:rPr>
            </w:pPr>
            <w:r>
              <w:rPr>
                <w:b w:val="0"/>
              </w:rPr>
              <w:t>In line with the school’s 2019 AIP Improvement Initiative t</w:t>
            </w:r>
            <w:r>
              <w:rPr>
                <w:b w:val="0"/>
              </w:rPr>
              <w:t>o ‘Build Practice Excellence’  the school focused strongly on consistent, whole school planning, the use of data to drive explicit teaching to ensure a well-balanced, highly differentiated program and the promotion of ‘Curiosity’ through the implementation</w:t>
            </w:r>
            <w:r>
              <w:rPr>
                <w:b w:val="0"/>
              </w:rPr>
              <w:t xml:space="preserve"> of Inquiry Learning programs. </w:t>
            </w:r>
            <w:r>
              <w:rPr>
                <w:b w:val="0"/>
              </w:rPr>
              <w:br/>
              <w:t>Protocols for whole school planning, templates and learning teams with support provided by senior teachers, ensured high quality planning, preparation and clearly defined learning intentions and goals.</w:t>
            </w:r>
            <w:r>
              <w:rPr>
                <w:b w:val="0"/>
              </w:rPr>
              <w:br/>
              <w:t>The embedding of a wel</w:t>
            </w:r>
            <w:r>
              <w:rPr>
                <w:b w:val="0"/>
              </w:rPr>
              <w:t>l-functioning, productive SIT (School Improvement Team) ensured that communication and delivery of programs, initiative and professional leaning across the school was enhanced.</w:t>
            </w:r>
            <w:r>
              <w:rPr>
                <w:b w:val="0"/>
              </w:rPr>
              <w:br/>
              <w:t>A highly differentiated class program, assisted by research based programs such</w:t>
            </w:r>
            <w:r>
              <w:rPr>
                <w:b w:val="0"/>
              </w:rPr>
              <w:t xml:space="preserve"> as Spelling Mastery and Corrective Reading and the whole school approach to Number with all students from Grades One to Six working in their ‘zones of </w:t>
            </w:r>
            <w:r>
              <w:rPr>
                <w:b w:val="0"/>
              </w:rPr>
              <w:lastRenderedPageBreak/>
              <w:t>proximal development’ assisted in the achievement of the goals of consistency in curriculum delivery and</w:t>
            </w:r>
            <w:r>
              <w:rPr>
                <w:b w:val="0"/>
              </w:rPr>
              <w:t xml:space="preserve"> high quality student outcomes with the meeting of the needs of all students in the school being a strong priority </w:t>
            </w:r>
            <w:r>
              <w:rPr>
                <w:b w:val="0"/>
              </w:rPr>
              <w:br/>
              <w:t>As an outcome of the School Review process in 2019 the school received commendation for the quality and consistency of planning documents an</w:t>
            </w:r>
            <w:r>
              <w:rPr>
                <w:b w:val="0"/>
              </w:rPr>
              <w:t>d was able to formulate future directions for a curiosity based learning program.</w:t>
            </w:r>
            <w:r>
              <w:rPr>
                <w:b w:val="0"/>
              </w:rPr>
              <w:br/>
            </w:r>
          </w:p>
        </w:tc>
      </w:tr>
      <w:tr w:rsidR="004161F2" w:rsidTr="003329F2">
        <w:trPr>
          <w:trHeight w:val="15"/>
        </w:trPr>
        <w:tc>
          <w:tcPr>
            <w:tcW w:w="10774" w:type="dxa"/>
            <w:shd w:val="clear" w:color="auto" w:fill="D9D9D9" w:themeFill="background1" w:themeFillShade="D9"/>
          </w:tcPr>
          <w:p w:rsidR="00777DB2" w:rsidRDefault="004632C5" w:rsidP="00994A0F">
            <w:pPr>
              <w:pStyle w:val="Heading3"/>
              <w:spacing w:before="0" w:after="0"/>
              <w:rPr>
                <w:szCs w:val="20"/>
              </w:rPr>
            </w:pPr>
            <w:r w:rsidRPr="00D3162B">
              <w:rPr>
                <w:sz w:val="22"/>
                <w:szCs w:val="22"/>
              </w:rPr>
              <w:lastRenderedPageBreak/>
              <w:t>Achievement</w:t>
            </w:r>
          </w:p>
        </w:tc>
      </w:tr>
      <w:tr w:rsidR="004161F2" w:rsidTr="003329F2">
        <w:trPr>
          <w:trHeight w:val="15"/>
        </w:trPr>
        <w:tc>
          <w:tcPr>
            <w:tcW w:w="10774" w:type="dxa"/>
            <w:shd w:val="clear" w:color="auto" w:fill="FFFFFF" w:themeFill="background1"/>
          </w:tcPr>
          <w:p w:rsidR="00777DB2" w:rsidRPr="005A75E6" w:rsidRDefault="004632C5" w:rsidP="00994A0F">
            <w:pPr>
              <w:pStyle w:val="Heading3"/>
              <w:spacing w:before="0" w:after="0"/>
              <w:rPr>
                <w:b w:val="0"/>
                <w:szCs w:val="20"/>
              </w:rPr>
            </w:pPr>
            <w:r>
              <w:rPr>
                <w:b w:val="0"/>
              </w:rPr>
              <w:t>2019 Grade Three NAPLAN results showed that, in both Reading and Numeracy, the school was achieving an ‘Above’ rating in the school comparison summary with the</w:t>
            </w:r>
            <w:r>
              <w:rPr>
                <w:b w:val="0"/>
              </w:rPr>
              <w:t xml:space="preserve"> four year trend data for both Grade Three Reading and Numeracy being above the median of all Victorian Government Primary Schools. In 2019 the Grade Five results in NAPLAN for Reading were below the state mean however Numeracy was above the state mean wit</w:t>
            </w:r>
            <w:r>
              <w:rPr>
                <w:b w:val="0"/>
              </w:rPr>
              <w:t>h the four year trend data for both Grade Five Reading and Numeracy being above the median of all Victorian Government Primary Schools.</w:t>
            </w:r>
            <w:r>
              <w:rPr>
                <w:b w:val="0"/>
              </w:rPr>
              <w:br/>
              <w:t xml:space="preserve">The Relative Growth (2017 -2019) shows that 94% of students made Medium or High growth in Grammar and Punctuation,  87% </w:t>
            </w:r>
            <w:r>
              <w:rPr>
                <w:b w:val="0"/>
              </w:rPr>
              <w:t>of students made Medium or High growth in Spelling, 75% of students made Medium or High growth in Numeracy, 69% of students made Medium or High growth in Reading and 67% of students made Medium or High growth in Writing. These results met the targets set i</w:t>
            </w:r>
            <w:r>
              <w:rPr>
                <w:b w:val="0"/>
              </w:rPr>
              <w:t>n the 2019 AIP for Grammar and Punctuation and Numeracy however Reading did not reach the 75% target for Medium and High growth (69% achieved) or for 25% in Low Growth (31% recorded).</w:t>
            </w:r>
            <w:r>
              <w:rPr>
                <w:b w:val="0"/>
              </w:rPr>
              <w:br/>
              <w:t>During 2019 the school continued to focus on consistency in planning and</w:t>
            </w:r>
            <w:r>
              <w:rPr>
                <w:b w:val="0"/>
              </w:rPr>
              <w:t xml:space="preserve"> curriculum delivery, to ensure that a differentiated program tightly aligned to student abilities and potential was delivered across the school. The Corrective Reading program has provided research based scaffolding to support students identified as requi</w:t>
            </w:r>
            <w:r>
              <w:rPr>
                <w:b w:val="0"/>
              </w:rPr>
              <w:t>ring additional assistance in Reading. The implementation of the Spelling Mastery program for all students in Grades 3-6 has resulted in measurable improvements in students’ written language skills.  Magic Maths, where students are grouped according to the</w:t>
            </w:r>
            <w:r>
              <w:rPr>
                <w:b w:val="0"/>
              </w:rPr>
              <w:t>ir ‘Zone of Proximal Development’, has resulted in high levels of engagement and achievement in the Number component of the Numeracy curriculum.</w:t>
            </w:r>
            <w:r>
              <w:rPr>
                <w:b w:val="0"/>
              </w:rPr>
              <w:br/>
              <w:t>The school has ten PSD funded students who all work closely with their appointed Educational Support person. ES</w:t>
            </w:r>
            <w:r>
              <w:rPr>
                <w:b w:val="0"/>
              </w:rPr>
              <w:t xml:space="preserve"> staff assist to scaffold learning with the classroom and specialist programs and maintain open lines of communication with students’ families to ensure consistent understandings of learning programs, processes and goals. Individual Learning Plans and term</w:t>
            </w:r>
            <w:r>
              <w:rPr>
                <w:b w:val="0"/>
              </w:rPr>
              <w:t>ly Student Support Group meetings with the involvement of Allied Health professionals ensure that progress is tightly monitored and achievement maintained.</w:t>
            </w:r>
            <w:r>
              <w:rPr>
                <w:b w:val="0"/>
              </w:rPr>
              <w:br/>
              <w:t>The school continued to fund a Literacy Coordinator in 2019 to collaborate and work with all staff t</w:t>
            </w:r>
            <w:r>
              <w:rPr>
                <w:b w:val="0"/>
              </w:rPr>
              <w:t>o ensure that consistency in lesson delivery and student outcomes was established to provide solid foundations for students in their ongoing Literacy skill development.</w:t>
            </w:r>
            <w:r>
              <w:rPr>
                <w:b w:val="0"/>
              </w:rPr>
              <w:br/>
            </w:r>
          </w:p>
        </w:tc>
      </w:tr>
      <w:tr w:rsidR="004161F2" w:rsidTr="003329F2">
        <w:trPr>
          <w:trHeight w:val="15"/>
        </w:trPr>
        <w:tc>
          <w:tcPr>
            <w:tcW w:w="10774" w:type="dxa"/>
            <w:shd w:val="clear" w:color="auto" w:fill="D9D9D9" w:themeFill="background1" w:themeFillShade="D9"/>
          </w:tcPr>
          <w:p w:rsidR="00777DB2" w:rsidRPr="00D3162B" w:rsidRDefault="004632C5" w:rsidP="00994A0F">
            <w:pPr>
              <w:pStyle w:val="Heading3"/>
              <w:spacing w:before="0" w:after="0"/>
              <w:rPr>
                <w:sz w:val="22"/>
                <w:szCs w:val="22"/>
              </w:rPr>
            </w:pPr>
            <w:r w:rsidRPr="00D3162B">
              <w:rPr>
                <w:sz w:val="22"/>
                <w:szCs w:val="22"/>
              </w:rPr>
              <w:t>Engagement</w:t>
            </w:r>
          </w:p>
        </w:tc>
      </w:tr>
      <w:tr w:rsidR="004161F2" w:rsidTr="003329F2">
        <w:trPr>
          <w:trHeight w:val="15"/>
        </w:trPr>
        <w:tc>
          <w:tcPr>
            <w:tcW w:w="10774" w:type="dxa"/>
            <w:shd w:val="clear" w:color="auto" w:fill="FFFFFF" w:themeFill="background1"/>
          </w:tcPr>
          <w:p w:rsidR="00777DB2" w:rsidRPr="005A75E6" w:rsidRDefault="004632C5" w:rsidP="00994A0F">
            <w:pPr>
              <w:pStyle w:val="Heading3"/>
              <w:spacing w:before="0" w:after="0"/>
              <w:rPr>
                <w:b w:val="0"/>
                <w:szCs w:val="20"/>
              </w:rPr>
            </w:pPr>
            <w:r>
              <w:rPr>
                <w:b w:val="0"/>
              </w:rPr>
              <w:t>Greensborough Primary School’s student absence is slightly above the stat</w:t>
            </w:r>
            <w:r>
              <w:rPr>
                <w:b w:val="0"/>
              </w:rPr>
              <w:t>e median for all Victorian government schools but is in a similar range when compared to other schools with students with similar background characteristics. The school continues to closely monitor student attendance with proactive contact with families to</w:t>
            </w:r>
            <w:r>
              <w:rPr>
                <w:b w:val="0"/>
              </w:rPr>
              <w:t xml:space="preserve"> ensure high levels of understanding about the reasons for school absence and to identify any areas in which the school could provide support. Regional Support Staff were actively engaged to assist with contact with families and to implement best practice </w:t>
            </w:r>
            <w:r>
              <w:rPr>
                <w:b w:val="0"/>
              </w:rPr>
              <w:t>strategies to reengage families and students with school.</w:t>
            </w:r>
            <w:r>
              <w:rPr>
                <w:b w:val="0"/>
              </w:rPr>
              <w:br/>
              <w:t>The purchase of new technology in 2019, the continuation of Coding and Robotics, diverse curriculum programs and the proactive involvement of a range of support programs have all assisted in promoti</w:t>
            </w:r>
            <w:r>
              <w:rPr>
                <w:b w:val="0"/>
              </w:rPr>
              <w:t>ng and enhancing student engagement.</w:t>
            </w:r>
            <w:r>
              <w:rPr>
                <w:b w:val="0"/>
              </w:rPr>
              <w:br/>
              <w:t>The school’s comprehensive Student Leadership Program, Prep-6 Buddies Program, Literacy, Art, Science, Coding and Gateways Extension programs and the Student Wellbeing Leaders program have all given students the opportu</w:t>
            </w:r>
            <w:r>
              <w:rPr>
                <w:b w:val="0"/>
              </w:rPr>
              <w:t>nity to pursue individual areas of high interest and challenge.</w:t>
            </w:r>
            <w:r>
              <w:rPr>
                <w:b w:val="0"/>
              </w:rPr>
              <w:br/>
              <w:t>Whilst maintaining the much valued qualities of a small school, Greensborough Primary provides a broad range of curriculum opportunities with the employment of highly qualified specialist teac</w:t>
            </w:r>
            <w:r>
              <w:rPr>
                <w:b w:val="0"/>
              </w:rPr>
              <w:t>hing staff to engage students in rich and diverse curriculum programs.</w:t>
            </w:r>
            <w:r>
              <w:rPr>
                <w:b w:val="0"/>
              </w:rPr>
              <w:br/>
            </w:r>
          </w:p>
        </w:tc>
      </w:tr>
      <w:tr w:rsidR="004161F2" w:rsidTr="003329F2">
        <w:trPr>
          <w:trHeight w:val="15"/>
        </w:trPr>
        <w:tc>
          <w:tcPr>
            <w:tcW w:w="10774" w:type="dxa"/>
            <w:shd w:val="clear" w:color="auto" w:fill="D9D9D9" w:themeFill="background1" w:themeFillShade="D9"/>
          </w:tcPr>
          <w:p w:rsidR="00777DB2" w:rsidRPr="00D3162B" w:rsidRDefault="004632C5" w:rsidP="00994A0F">
            <w:pPr>
              <w:pStyle w:val="Heading3"/>
              <w:spacing w:before="0" w:after="0"/>
              <w:rPr>
                <w:sz w:val="22"/>
                <w:szCs w:val="22"/>
              </w:rPr>
            </w:pPr>
            <w:r w:rsidRPr="00F40AEE">
              <w:rPr>
                <w:sz w:val="22"/>
                <w:szCs w:val="22"/>
              </w:rPr>
              <w:lastRenderedPageBreak/>
              <w:t>Wellbeing</w:t>
            </w:r>
          </w:p>
        </w:tc>
      </w:tr>
      <w:tr w:rsidR="004161F2" w:rsidTr="003329F2">
        <w:trPr>
          <w:trHeight w:val="15"/>
        </w:trPr>
        <w:tc>
          <w:tcPr>
            <w:tcW w:w="10774" w:type="dxa"/>
            <w:shd w:val="clear" w:color="auto" w:fill="FFFFFF" w:themeFill="background1"/>
          </w:tcPr>
          <w:p w:rsidR="00777DB2" w:rsidRPr="007C43EB" w:rsidRDefault="004632C5" w:rsidP="00994A0F">
            <w:pPr>
              <w:pStyle w:val="Heading3"/>
              <w:spacing w:before="0" w:after="0"/>
              <w:rPr>
                <w:b w:val="0"/>
                <w:szCs w:val="20"/>
              </w:rPr>
            </w:pPr>
            <w:r>
              <w:rPr>
                <w:b w:val="0"/>
              </w:rPr>
              <w:t xml:space="preserve">Greensborough Primary School’s Students Attitudes to School, ‘Sense of Connectedness’ was slightly above the median of Victorian Government primary schools with the School </w:t>
            </w:r>
            <w:r>
              <w:rPr>
                <w:b w:val="0"/>
              </w:rPr>
              <w:t>Comparison data showing that the school is achieving a result that is ‘Similar’ to other schools with similar background characteristics. The 2019 Student Attitudes to School Survey data for the ‘Management of Bullying’ was above the state mean and receive</w:t>
            </w:r>
            <w:r>
              <w:rPr>
                <w:b w:val="0"/>
              </w:rPr>
              <w:t>d a result in the ‘Above’ range. This is supported by school surveys and data which show that students are highly engaged and positive about their experiences at school. To support and enhance Student Wellbeing the school facilitated the delivery of the Re</w:t>
            </w:r>
            <w:r>
              <w:rPr>
                <w:b w:val="0"/>
              </w:rPr>
              <w:t>lationships Australia, Cyber Safety and Life Education programs.</w:t>
            </w:r>
            <w:r>
              <w:rPr>
                <w:b w:val="0"/>
              </w:rPr>
              <w:br/>
              <w:t xml:space="preserve">Greensborough Primary has an extensive Prep Transition focus which includes programs in the areas of ‘Starting to Read’ and ‘Stories at School’. All of these programs are designed to develop </w:t>
            </w:r>
            <w:r>
              <w:rPr>
                <w:b w:val="0"/>
              </w:rPr>
              <w:t>confidence and engagement in the school environment and to provide information and support for families. All of these programs lead to the formal Prep Transition program which was run on the four Fridays in November.</w:t>
            </w:r>
            <w:r>
              <w:rPr>
                <w:b w:val="0"/>
              </w:rPr>
              <w:br/>
              <w:t>Support services were engaged to facili</w:t>
            </w:r>
            <w:r>
              <w:rPr>
                <w:b w:val="0"/>
              </w:rPr>
              <w:t xml:space="preserve">tate information sessions for new parents, providing strategies and suggestions for managing positive transitions to school for both children and parents. In addition to the above programs, the school hosted visits from the local kindergarten and a smooth </w:t>
            </w:r>
            <w:r>
              <w:rPr>
                <w:b w:val="0"/>
              </w:rPr>
              <w:t>transition was achieved with extensive communication and a comprehensive handover from the preschool facility.</w:t>
            </w:r>
            <w:r>
              <w:rPr>
                <w:b w:val="0"/>
              </w:rPr>
              <w:br/>
              <w:t>Student leadership skills are actively fostered in Grade Six as a precursor to the challenges and opportunities of secondary school. The school h</w:t>
            </w:r>
            <w:r>
              <w:rPr>
                <w:b w:val="0"/>
              </w:rPr>
              <w:t>osts visits from local secondary colleges and implements school based programs during Term Four for both students and parents on transitions and preparations for the next step in the student’s educational journey. Programs to foster wellbeing and resilienc</w:t>
            </w:r>
            <w:r>
              <w:rPr>
                <w:b w:val="0"/>
              </w:rPr>
              <w:t>e such as the ‘PATHS’ program which is an evidenced based positive education program, respectful Relationships and yoga sessions were incorporated into the school curriculum.</w:t>
            </w:r>
            <w:r>
              <w:rPr>
                <w:b w:val="0"/>
              </w:rPr>
              <w:br/>
              <w:t>Term Four sees Grade Six students actively engaged in preparing for their primary</w:t>
            </w:r>
            <w:r>
              <w:rPr>
                <w:b w:val="0"/>
              </w:rPr>
              <w:t xml:space="preserve"> school Graduation and compiling transition documents and work samples for their chosen secondary school.</w:t>
            </w:r>
            <w:r>
              <w:rPr>
                <w:b w:val="0"/>
              </w:rPr>
              <w:br/>
            </w:r>
          </w:p>
        </w:tc>
      </w:tr>
      <w:tr w:rsidR="004161F2" w:rsidTr="003329F2">
        <w:trPr>
          <w:trHeight w:val="15"/>
        </w:trPr>
        <w:tc>
          <w:tcPr>
            <w:tcW w:w="10774" w:type="dxa"/>
            <w:shd w:val="clear" w:color="auto" w:fill="D9D9D9" w:themeFill="background1" w:themeFillShade="D9"/>
          </w:tcPr>
          <w:p w:rsidR="00777DB2" w:rsidRPr="00D3162B" w:rsidRDefault="004632C5" w:rsidP="00994A0F">
            <w:pPr>
              <w:pStyle w:val="Heading3"/>
              <w:spacing w:before="0" w:after="0"/>
              <w:rPr>
                <w:sz w:val="22"/>
                <w:szCs w:val="22"/>
              </w:rPr>
            </w:pPr>
            <w:r w:rsidRPr="00F40AEE">
              <w:rPr>
                <w:sz w:val="22"/>
                <w:szCs w:val="22"/>
              </w:rPr>
              <w:t>Financial performance and position</w:t>
            </w:r>
          </w:p>
        </w:tc>
      </w:tr>
      <w:tr w:rsidR="004161F2" w:rsidTr="003329F2">
        <w:trPr>
          <w:trHeight w:val="15"/>
        </w:trPr>
        <w:tc>
          <w:tcPr>
            <w:tcW w:w="10774" w:type="dxa"/>
            <w:shd w:val="clear" w:color="auto" w:fill="FFFFFF" w:themeFill="background1"/>
          </w:tcPr>
          <w:p w:rsidR="00777DB2" w:rsidRPr="005A75E6" w:rsidRDefault="004632C5" w:rsidP="00994A0F">
            <w:pPr>
              <w:pStyle w:val="Heading3"/>
              <w:spacing w:before="0" w:after="0"/>
              <w:rPr>
                <w:b w:val="0"/>
                <w:szCs w:val="20"/>
              </w:rPr>
            </w:pPr>
            <w:r>
              <w:rPr>
                <w:b w:val="0"/>
              </w:rPr>
              <w:t xml:space="preserve">The school ended 2019 with a surplus which is targeted towards the funding of lease agreements on ICT equipment </w:t>
            </w:r>
            <w:r>
              <w:rPr>
                <w:b w:val="0"/>
              </w:rPr>
              <w:t>and the delivery of targeted intervention programs. Parents and Friends funds raised in 2019 were allocated for projects to be completed in 2020 and thus form part of the end of year surplus.The school surplus also provides a sound buffer against any fluct</w:t>
            </w:r>
            <w:r>
              <w:rPr>
                <w:b w:val="0"/>
              </w:rPr>
              <w:t>uations in enrolments to ensure the school is able to staff and maintain all programs and continue to provide a quality learning program across the school. The maintenance of buildings and grounds continues to be a priority and sound management of funds ha</w:t>
            </w:r>
            <w:r>
              <w:rPr>
                <w:b w:val="0"/>
              </w:rPr>
              <w:t>s ensured the school has been able to maintain a high quality learning environment for staff and students.</w:t>
            </w:r>
          </w:p>
        </w:tc>
      </w:tr>
      <w:tr w:rsidR="004161F2" w:rsidTr="003329F2">
        <w:trPr>
          <w:trHeight w:val="15"/>
        </w:trPr>
        <w:tc>
          <w:tcPr>
            <w:tcW w:w="10774" w:type="dxa"/>
            <w:shd w:val="clear" w:color="auto" w:fill="D9D9D9" w:themeFill="background1" w:themeFillShade="D9"/>
          </w:tcPr>
          <w:p w:rsidR="00BF0096" w:rsidRPr="005A75E6" w:rsidRDefault="004632C5" w:rsidP="00C71E7A">
            <w:pPr>
              <w:pStyle w:val="Heading3"/>
              <w:spacing w:before="0" w:after="0"/>
              <w:rPr>
                <w:b w:val="0"/>
                <w:szCs w:val="20"/>
              </w:rPr>
            </w:pPr>
          </w:p>
          <w:p w:rsidR="004161F2" w:rsidRDefault="004632C5">
            <w:pPr>
              <w:spacing w:after="218" w:line="240" w:lineRule="auto"/>
              <w:jc w:val="center"/>
              <w:rPr>
                <w:rFonts w:eastAsia="Arial"/>
                <w:sz w:val="22"/>
                <w:szCs w:val="22"/>
              </w:rPr>
            </w:pPr>
            <w:r>
              <w:rPr>
                <w:rFonts w:eastAsia="Arial"/>
                <w:b/>
                <w:bCs/>
                <w:sz w:val="22"/>
                <w:szCs w:val="22"/>
              </w:rPr>
              <w:t xml:space="preserve">For more detailed information regarding our school please visit our website at </w:t>
            </w:r>
            <w:hyperlink r:id="rId22" w:history="1">
              <w:r>
                <w:rPr>
                  <w:rFonts w:eastAsia="Arial"/>
                  <w:b/>
                  <w:bCs/>
                  <w:color w:val="0000EE"/>
                  <w:sz w:val="22"/>
                  <w:szCs w:val="22"/>
                  <w:u w:val="single"/>
                </w:rPr>
                <w:t>greensborough.ps@</w:t>
              </w:r>
              <w:r>
                <w:rPr>
                  <w:rFonts w:eastAsia="Arial"/>
                  <w:b/>
                  <w:bCs/>
                  <w:color w:val="0000EE"/>
                  <w:sz w:val="22"/>
                  <w:szCs w:val="22"/>
                  <w:u w:val="single"/>
                </w:rPr>
                <w:t>education.vic.gov.au</w:t>
              </w:r>
            </w:hyperlink>
          </w:p>
          <w:p w:rsidR="004161F2" w:rsidRDefault="004161F2"/>
        </w:tc>
      </w:tr>
    </w:tbl>
    <w:p w:rsidR="005E684F" w:rsidRPr="00FA10DB" w:rsidRDefault="004632C5" w:rsidP="00F73E5D">
      <w:pPr>
        <w:ind w:right="-632"/>
        <w:rPr>
          <w:b/>
          <w:color w:val="AF272F"/>
          <w:sz w:val="36"/>
          <w:szCs w:val="44"/>
        </w:rPr>
        <w:sectPr w:rsidR="005E684F" w:rsidRPr="00FA10DB" w:rsidSect="005D3640">
          <w:headerReference w:type="even" r:id="rId23"/>
          <w:headerReference w:type="default" r:id="rId24"/>
          <w:footerReference w:type="default" r:id="rId25"/>
          <w:headerReference w:type="first" r:id="rId26"/>
          <w:pgSz w:w="11906" w:h="16838" w:code="9"/>
          <w:pgMar w:top="2036" w:right="1240" w:bottom="1304" w:left="1304" w:header="624" w:footer="532" w:gutter="0"/>
          <w:cols w:space="397"/>
          <w:docGrid w:linePitch="360"/>
        </w:sectPr>
      </w:pPr>
    </w:p>
    <w:p w:rsidR="00ED2B37" w:rsidRDefault="004632C5">
      <w:pPr>
        <w:pStyle w:val="ESHeading1"/>
        <w:jc w:val="center"/>
        <w:rPr>
          <w:color w:val="auto"/>
        </w:rPr>
      </w:pPr>
      <w:r>
        <w:rPr>
          <w:color w:val="auto"/>
        </w:rPr>
        <w:lastRenderedPageBreak/>
        <w:t>Performance Summary</w:t>
      </w:r>
    </w:p>
    <w:p w:rsidR="00ED2B37" w:rsidRDefault="004632C5">
      <w:pPr>
        <w:pStyle w:val="ESBodyText"/>
      </w:pPr>
      <w:r>
        <w:t>The Government School Performance Summary provides an overview of how this school is contributing to the objectives of the Education State</w:t>
      </w:r>
      <w:r>
        <w:t xml:space="preserve"> and how it compares to other Victorian Government schools.</w:t>
      </w:r>
    </w:p>
    <w:p w:rsidR="00ED2B37" w:rsidRDefault="004632C5">
      <w:pPr>
        <w:pStyle w:val="ESBodyText"/>
      </w:pPr>
      <w:r>
        <w:t>All schools work in partnership with their school community to improve outcomes for children and young people.  Sharing this information with parents and the wider school community helps to suppor</w:t>
      </w:r>
      <w:r>
        <w:t>t community engagement in student learning, a key priority of the Framework for Improving Student Outcomes.</w:t>
      </w:r>
    </w:p>
    <w:p w:rsidR="00ED2B37" w:rsidRDefault="004632C5">
      <w:pPr>
        <w:pStyle w:val="ESBodyText"/>
      </w:pPr>
      <w:r>
        <w:t>Refer to the ‘How to read the Annual Report’ section for help on how to interpret this report.</w:t>
      </w:r>
    </w:p>
    <w:p w:rsidR="00ED2B37" w:rsidRDefault="004632C5">
      <w:pPr>
        <w:pStyle w:val="ESHeading2"/>
        <w:rPr>
          <w:color w:val="00008B"/>
          <w:u w:val="single"/>
        </w:rPr>
      </w:pPr>
      <w:r>
        <w:rPr>
          <w:color w:val="00008B"/>
          <w:u w:val="single"/>
        </w:rPr>
        <w:t>School profile</w:t>
      </w:r>
    </w:p>
    <w:p w:rsidR="00ED2B37" w:rsidRDefault="004632C5">
      <w:pPr>
        <w:pStyle w:val="ESBodyText"/>
        <w:ind w:left="709" w:hanging="709"/>
        <w:rPr>
          <w:b/>
          <w:i/>
        </w:rPr>
      </w:pPr>
      <w:r>
        <w:rPr>
          <w:b/>
          <w:i/>
        </w:rPr>
        <w:t>Key:</w:t>
      </w:r>
      <w:r>
        <w:rPr>
          <w:b/>
          <w:i/>
        </w:rPr>
        <w:tab/>
        <w:t>“Middle 60 percent low” to “middl</w:t>
      </w:r>
      <w:r>
        <w:rPr>
          <w:b/>
          <w:i/>
        </w:rPr>
        <w:t>e 60 percent high” is the range of results for the middle 60 percent of Victorian Government primary school type.</w:t>
      </w:r>
    </w:p>
    <w:p w:rsidR="00ED2B37" w:rsidRDefault="004632C5">
      <w:pPr>
        <w:pStyle w:val="ESImageorGraphTitle"/>
        <w:rPr>
          <w:color w:val="00008B"/>
        </w:rPr>
      </w:pPr>
      <w:r>
        <w:rPr>
          <w:color w:val="00008B"/>
        </w:rPr>
        <w:t>Enrolment Profile</w:t>
      </w:r>
    </w:p>
    <w:p w:rsidR="00ED2B37" w:rsidRDefault="004632C5">
      <w:pPr>
        <w:pStyle w:val="ESBodyText"/>
      </w:pPr>
      <w:r>
        <w:t>A total of  165 students were enrolled at this school in 2019,   70 female and   95 male.</w:t>
      </w:r>
    </w:p>
    <w:p w:rsidR="00ED2B37" w:rsidRDefault="004632C5">
      <w:pPr>
        <w:pStyle w:val="ESBodyText"/>
      </w:pPr>
      <w:r>
        <w:t xml:space="preserve">4 percent of students had English </w:t>
      </w:r>
      <w:r>
        <w:t>as an additional language and 5 percent were Aboriginal or Torres Strait Islander.</w:t>
      </w:r>
    </w:p>
    <w:p w:rsidR="00ED2B37" w:rsidRDefault="004632C5">
      <w:pPr>
        <w:pStyle w:val="ESBodyText"/>
        <w:rPr>
          <w:color w:val="00008B"/>
        </w:rPr>
      </w:pPr>
    </w:p>
    <w:p w:rsidR="00ED2B37" w:rsidRDefault="004632C5">
      <w:pPr>
        <w:pStyle w:val="ESBodyText"/>
        <w:rPr>
          <w:rFonts w:eastAsiaTheme="majorEastAsia" w:cstheme="majorBidi"/>
          <w:b/>
          <w:bCs/>
          <w:color w:val="00008B"/>
          <w:szCs w:val="20"/>
        </w:rPr>
      </w:pPr>
      <w:r>
        <w:rPr>
          <w:rFonts w:eastAsiaTheme="majorEastAsia" w:cstheme="majorBidi"/>
          <w:b/>
          <w:bCs/>
          <w:color w:val="00008B"/>
          <w:szCs w:val="20"/>
        </w:rPr>
        <w:t>Overall Socio-Economic Profile</w:t>
      </w:r>
    </w:p>
    <w:p w:rsidR="00ED2B37" w:rsidRDefault="004632C5">
      <w:pPr>
        <w:pStyle w:val="ESBodyText"/>
      </w:pPr>
      <w:r>
        <w:t>The overall school’s socio-economic profile is based on the school's Student Family Occupation and Education index (SFOE) which takes into ac</w:t>
      </w:r>
      <w:r>
        <w:t>count parents' occupations and education.</w:t>
      </w:r>
    </w:p>
    <w:p w:rsidR="00ED2B37" w:rsidRDefault="004632C5">
      <w:pPr>
        <w:pStyle w:val="ESBodyText"/>
      </w:pPr>
      <w:r>
        <w:t>Possible socio-economic band values are: Low, Low-Medium, Medium and High.</w:t>
      </w:r>
    </w:p>
    <w:p w:rsidR="00ED2B37" w:rsidRDefault="004632C5">
      <w:pPr>
        <w:pStyle w:val="ESBodyText"/>
      </w:pPr>
      <w:r>
        <w:t>This school’s socio-economic band value is: Medium</w:t>
      </w:r>
    </w:p>
    <w:p w:rsidR="00ED2B37" w:rsidRDefault="004632C5">
      <w:pPr>
        <w:pStyle w:val="ESBodyText"/>
      </w:pPr>
    </w:p>
    <w:p w:rsidR="00ED2B37" w:rsidRDefault="004632C5">
      <w:pPr>
        <w:pStyle w:val="ESBodyText"/>
        <w:rPr>
          <w:rFonts w:eastAsiaTheme="majorEastAsia" w:cstheme="majorBidi"/>
          <w:b/>
          <w:bCs/>
          <w:color w:val="00008B"/>
          <w:szCs w:val="20"/>
        </w:rPr>
      </w:pPr>
      <w:r>
        <w:rPr>
          <w:rFonts w:eastAsiaTheme="majorEastAsia" w:cstheme="majorBidi"/>
          <w:b/>
          <w:bCs/>
          <w:color w:val="00008B"/>
          <w:szCs w:val="20"/>
        </w:rPr>
        <w:t>Parent Satisfaction Summary</w:t>
      </w:r>
    </w:p>
    <w:p w:rsidR="00ED2B37" w:rsidRDefault="004632C5">
      <w:pPr>
        <w:rPr>
          <w:rFonts w:eastAsia="MS Mincho"/>
        </w:rPr>
      </w:pPr>
      <w:r>
        <w:rPr>
          <w:rFonts w:eastAsia="MS Mincho"/>
        </w:rPr>
        <w:t>The percent endorsement by parents on their school satisfac</w:t>
      </w:r>
      <w:r>
        <w:rPr>
          <w:rFonts w:eastAsia="MS Mincho"/>
        </w:rPr>
        <w:t>tion level as reported in the annual Parent Opinion Survey.</w:t>
      </w:r>
    </w:p>
    <w:p w:rsidR="00ED2B37" w:rsidRDefault="004632C5">
      <w:pPr>
        <w:spacing w:after="240"/>
      </w:pPr>
      <w:r>
        <w:rPr>
          <w:rFonts w:eastAsia="MS Mincho"/>
        </w:rPr>
        <w:t>Percent endorsement indicates the percent of positive responses (agree or strongly agree) from parents who responded to the survey.</w:t>
      </w:r>
    </w:p>
    <w:tbl>
      <w:tblPr>
        <w:tblStyle w:val="GridTable2-Accent61"/>
        <w:tblW w:w="4853" w:type="pct"/>
        <w:jc w:val="center"/>
        <w:tblLook w:val="04A0" w:firstRow="1" w:lastRow="0" w:firstColumn="1" w:lastColumn="0" w:noHBand="0" w:noVBand="1"/>
        <w:tblCaption w:val="Parent Opinion survey results"/>
      </w:tblPr>
      <w:tblGrid>
        <w:gridCol w:w="4107"/>
        <w:gridCol w:w="1586"/>
        <w:gridCol w:w="1586"/>
        <w:gridCol w:w="1586"/>
        <w:gridCol w:w="1584"/>
      </w:tblGrid>
      <w:tr w:rsidR="004161F2" w:rsidTr="004161F2">
        <w:trPr>
          <w:cnfStyle w:val="100000000000" w:firstRow="1" w:lastRow="0" w:firstColumn="0" w:lastColumn="0" w:oddVBand="0" w:evenVBand="0" w:oddHBand="0" w:evenHBand="0" w:firstRowFirstColumn="0" w:firstRowLastColumn="0" w:lastRowFirstColumn="0" w:lastRowLastColumn="0"/>
          <w:trHeight w:val="445"/>
          <w:tblHeader/>
          <w:jc w:val="center"/>
        </w:trPr>
        <w:tc>
          <w:tcPr>
            <w:cnfStyle w:val="001000000000" w:firstRow="0" w:lastRow="0" w:firstColumn="1" w:lastColumn="0" w:oddVBand="0" w:evenVBand="0" w:oddHBand="0" w:evenHBand="0" w:firstRowFirstColumn="0" w:firstRowLastColumn="0" w:lastRowFirstColumn="0" w:lastRowLastColumn="0"/>
            <w:tcW w:w="1965" w:type="pct"/>
            <w:tcBorders>
              <w:bottom w:val="single" w:sz="12" w:space="0" w:color="FFFFFF"/>
            </w:tcBorders>
            <w:shd w:val="clear" w:color="auto" w:fill="106CB5"/>
            <w:vAlign w:val="center"/>
            <w:hideMark/>
          </w:tcPr>
          <w:p w:rsidR="00ED2B37" w:rsidRDefault="004632C5">
            <w:pPr>
              <w:spacing w:before="40" w:after="40" w:line="240" w:lineRule="auto"/>
              <w:rPr>
                <w:rFonts w:cs="Times New Roman"/>
                <w:color w:val="FFFFFF"/>
                <w:szCs w:val="22"/>
              </w:rPr>
            </w:pPr>
            <w:bookmarkStart w:id="1" w:name="Table_1"/>
            <w:r>
              <w:rPr>
                <w:rFonts w:cs="Times New Roman"/>
                <w:color w:val="FFFFFF"/>
                <w:szCs w:val="22"/>
              </w:rPr>
              <w:t>Parent Satisfaction</w:t>
            </w:r>
          </w:p>
        </w:tc>
        <w:tc>
          <w:tcPr>
            <w:tcW w:w="759" w:type="pct"/>
            <w:tcBorders>
              <w:bottom w:val="single" w:sz="12" w:space="0" w:color="FFFFFF"/>
            </w:tcBorders>
            <w:shd w:val="clear" w:color="auto" w:fill="106CB5"/>
            <w:vAlign w:val="center"/>
            <w:hideMark/>
          </w:tcPr>
          <w:p w:rsidR="00ED2B37" w:rsidRDefault="004632C5">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color w:val="FFFFFF"/>
                <w:szCs w:val="22"/>
              </w:rPr>
              <w:t>School</w:t>
            </w:r>
          </w:p>
        </w:tc>
        <w:tc>
          <w:tcPr>
            <w:tcW w:w="759" w:type="pct"/>
            <w:tcBorders>
              <w:bottom w:val="single" w:sz="12" w:space="0" w:color="FFFFFF"/>
            </w:tcBorders>
            <w:shd w:val="clear" w:color="auto" w:fill="106CB5"/>
            <w:vAlign w:val="center"/>
            <w:hideMark/>
          </w:tcPr>
          <w:p w:rsidR="00ED2B37" w:rsidRDefault="004632C5">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color w:val="FFFFFF"/>
                <w:szCs w:val="22"/>
              </w:rPr>
              <w:t>State Median</w:t>
            </w:r>
          </w:p>
        </w:tc>
        <w:tc>
          <w:tcPr>
            <w:tcW w:w="759" w:type="pct"/>
            <w:tcBorders>
              <w:bottom w:val="single" w:sz="12" w:space="0" w:color="FFFFFF"/>
            </w:tcBorders>
            <w:shd w:val="clear" w:color="auto" w:fill="106CB5"/>
            <w:vAlign w:val="center"/>
          </w:tcPr>
          <w:p w:rsidR="00ED2B37" w:rsidRDefault="004632C5">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Middle 60 percent low</w:t>
            </w:r>
          </w:p>
        </w:tc>
        <w:tc>
          <w:tcPr>
            <w:tcW w:w="759" w:type="pct"/>
            <w:tcBorders>
              <w:bottom w:val="single" w:sz="12" w:space="0" w:color="FFFFFF"/>
            </w:tcBorders>
            <w:shd w:val="clear" w:color="auto" w:fill="106CB5"/>
            <w:vAlign w:val="center"/>
            <w:hideMark/>
          </w:tcPr>
          <w:p w:rsidR="00ED2B37" w:rsidRDefault="004632C5">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Middle 60 percent high</w:t>
            </w:r>
          </w:p>
        </w:tc>
      </w:tr>
      <w:tr w:rsidR="004161F2" w:rsidTr="004161F2">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965" w:type="pct"/>
            <w:tcBorders>
              <w:top w:val="single" w:sz="12" w:space="0" w:color="FFFFFF"/>
              <w:bottom w:val="single" w:sz="2" w:space="0" w:color="106CB5"/>
            </w:tcBorders>
            <w:shd w:val="clear" w:color="auto" w:fill="FFFFFF"/>
            <w:noWrap/>
            <w:vAlign w:val="center"/>
          </w:tcPr>
          <w:p w:rsidR="00ED2B37" w:rsidRDefault="004632C5">
            <w:pPr>
              <w:spacing w:before="40" w:after="40" w:line="240" w:lineRule="auto"/>
              <w:rPr>
                <w:rFonts w:cs="Times New Roman"/>
                <w:szCs w:val="22"/>
              </w:rPr>
            </w:pPr>
          </w:p>
        </w:tc>
        <w:tc>
          <w:tcPr>
            <w:tcW w:w="759" w:type="pct"/>
            <w:tcBorders>
              <w:top w:val="single" w:sz="12" w:space="0" w:color="FFFFFF"/>
              <w:bottom w:val="single" w:sz="2" w:space="0" w:color="106CB5"/>
            </w:tcBorders>
            <w:shd w:val="clear" w:color="auto" w:fill="FFFFFF"/>
            <w:noWrap/>
            <w:vAlign w:val="center"/>
          </w:tcPr>
          <w:p w:rsidR="00ED2B37" w:rsidRDefault="004632C5">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759" w:type="pct"/>
            <w:tcBorders>
              <w:top w:val="single" w:sz="12" w:space="0" w:color="FFFFFF"/>
              <w:bottom w:val="single" w:sz="2" w:space="0" w:color="106CB5"/>
            </w:tcBorders>
            <w:shd w:val="clear" w:color="auto" w:fill="FFFFFF"/>
            <w:noWrap/>
          </w:tcPr>
          <w:p w:rsidR="00ED2B37" w:rsidRDefault="004632C5">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759" w:type="pct"/>
            <w:tcBorders>
              <w:top w:val="single" w:sz="12" w:space="0" w:color="FFFFFF"/>
              <w:bottom w:val="single" w:sz="2" w:space="0" w:color="106CB5"/>
            </w:tcBorders>
            <w:shd w:val="clear" w:color="auto" w:fill="FFFFFF"/>
            <w:vAlign w:val="center"/>
          </w:tcPr>
          <w:p w:rsidR="00ED2B37" w:rsidRDefault="004632C5">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759" w:type="pct"/>
            <w:tcBorders>
              <w:top w:val="single" w:sz="12" w:space="0" w:color="FFFFFF"/>
              <w:bottom w:val="single" w:sz="2" w:space="0" w:color="106CB5"/>
            </w:tcBorders>
            <w:shd w:val="clear" w:color="auto" w:fill="FFFFFF"/>
            <w:noWrap/>
            <w:vAlign w:val="center"/>
          </w:tcPr>
          <w:p w:rsidR="00ED2B37" w:rsidRDefault="004632C5">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r>
      <w:tr w:rsidR="004161F2" w:rsidTr="004161F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65" w:type="pct"/>
            <w:tcBorders>
              <w:top w:val="single" w:sz="2" w:space="0" w:color="106CB5"/>
              <w:bottom w:val="single" w:sz="2" w:space="0" w:color="106CB5"/>
            </w:tcBorders>
            <w:shd w:val="clear" w:color="auto" w:fill="D9D9D9"/>
            <w:noWrap/>
            <w:vAlign w:val="center"/>
            <w:hideMark/>
          </w:tcPr>
          <w:p w:rsidR="00ED2B37" w:rsidRDefault="004632C5">
            <w:pPr>
              <w:spacing w:before="40" w:after="40" w:line="240" w:lineRule="auto"/>
              <w:rPr>
                <w:rFonts w:cs="Times New Roman"/>
                <w:szCs w:val="22"/>
              </w:rPr>
            </w:pPr>
            <w:r>
              <w:rPr>
                <w:rFonts w:cs="Times New Roman"/>
                <w:szCs w:val="22"/>
                <w:lang w:val="en-US"/>
              </w:rPr>
              <w:t>Percent endorsement (latest year)</w:t>
            </w:r>
          </w:p>
        </w:tc>
        <w:tc>
          <w:tcPr>
            <w:tcW w:w="759" w:type="pct"/>
            <w:tcBorders>
              <w:top w:val="single" w:sz="2" w:space="0" w:color="106CB5"/>
              <w:bottom w:val="single" w:sz="2" w:space="0" w:color="106CB5"/>
            </w:tcBorders>
            <w:shd w:val="clear" w:color="auto" w:fill="D9D9D9"/>
            <w:noWrap/>
            <w:vAlign w:val="center"/>
          </w:tcPr>
          <w:p w:rsidR="00ED2B37" w:rsidRDefault="004632C5">
            <w:pPr>
              <w:jc w:val="right"/>
              <w:cnfStyle w:val="000000100000" w:firstRow="0" w:lastRow="0" w:firstColumn="0" w:lastColumn="0" w:oddVBand="0" w:evenVBand="0" w:oddHBand="1" w:evenHBand="0" w:firstRowFirstColumn="0" w:firstRowLastColumn="0" w:lastRowFirstColumn="0" w:lastRowLastColumn="0"/>
            </w:pPr>
            <w:r>
              <w:t xml:space="preserve"> 89.3</w:t>
            </w:r>
          </w:p>
        </w:tc>
        <w:tc>
          <w:tcPr>
            <w:tcW w:w="759" w:type="pct"/>
            <w:tcBorders>
              <w:top w:val="single" w:sz="2" w:space="0" w:color="106CB5"/>
              <w:bottom w:val="single" w:sz="2" w:space="0" w:color="106CB5"/>
            </w:tcBorders>
            <w:shd w:val="clear" w:color="auto" w:fill="D9D9D9"/>
            <w:noWrap/>
            <w:vAlign w:val="center"/>
          </w:tcPr>
          <w:p w:rsidR="00ED2B37" w:rsidRDefault="004632C5">
            <w:pPr>
              <w:jc w:val="right"/>
              <w:cnfStyle w:val="000000100000" w:firstRow="0" w:lastRow="0" w:firstColumn="0" w:lastColumn="0" w:oddVBand="0" w:evenVBand="0" w:oddHBand="1" w:evenHBand="0" w:firstRowFirstColumn="0" w:firstRowLastColumn="0" w:lastRowFirstColumn="0" w:lastRowLastColumn="0"/>
            </w:pPr>
            <w:r>
              <w:t xml:space="preserve"> 85.8</w:t>
            </w:r>
          </w:p>
        </w:tc>
        <w:tc>
          <w:tcPr>
            <w:tcW w:w="759" w:type="pct"/>
            <w:tcBorders>
              <w:top w:val="single" w:sz="2" w:space="0" w:color="106CB5"/>
              <w:bottom w:val="single" w:sz="2" w:space="0" w:color="106CB5"/>
            </w:tcBorders>
            <w:shd w:val="clear" w:color="auto" w:fill="D9D9D9"/>
            <w:vAlign w:val="center"/>
          </w:tcPr>
          <w:p w:rsidR="00ED2B37" w:rsidRDefault="004632C5">
            <w:pPr>
              <w:jc w:val="right"/>
              <w:cnfStyle w:val="000000100000" w:firstRow="0" w:lastRow="0" w:firstColumn="0" w:lastColumn="0" w:oddVBand="0" w:evenVBand="0" w:oddHBand="1" w:evenHBand="0" w:firstRowFirstColumn="0" w:firstRowLastColumn="0" w:lastRowFirstColumn="0" w:lastRowLastColumn="0"/>
            </w:pPr>
            <w:r>
              <w:t xml:space="preserve"> 79.2</w:t>
            </w:r>
          </w:p>
        </w:tc>
        <w:tc>
          <w:tcPr>
            <w:tcW w:w="759" w:type="pct"/>
            <w:tcBorders>
              <w:top w:val="single" w:sz="2" w:space="0" w:color="106CB5"/>
              <w:bottom w:val="single" w:sz="2" w:space="0" w:color="106CB5"/>
            </w:tcBorders>
            <w:shd w:val="clear" w:color="auto" w:fill="D9D9D9"/>
            <w:noWrap/>
            <w:vAlign w:val="center"/>
          </w:tcPr>
          <w:p w:rsidR="00ED2B37" w:rsidRDefault="004632C5">
            <w:pPr>
              <w:jc w:val="right"/>
              <w:cnfStyle w:val="000000100000" w:firstRow="0" w:lastRow="0" w:firstColumn="0" w:lastColumn="0" w:oddVBand="0" w:evenVBand="0" w:oddHBand="1" w:evenHBand="0" w:firstRowFirstColumn="0" w:firstRowLastColumn="0" w:lastRowFirstColumn="0" w:lastRowLastColumn="0"/>
            </w:pPr>
            <w:r>
              <w:t xml:space="preserve"> 92.0</w:t>
            </w:r>
          </w:p>
        </w:tc>
      </w:tr>
      <w:bookmarkEnd w:id="1"/>
    </w:tbl>
    <w:p w:rsidR="00ED2B37" w:rsidRDefault="004632C5">
      <w:pPr>
        <w:pStyle w:val="ESBodyText"/>
      </w:pPr>
    </w:p>
    <w:p w:rsidR="00ED2B37" w:rsidRDefault="004632C5">
      <w:pPr>
        <w:pStyle w:val="ESBodyText"/>
      </w:pPr>
    </w:p>
    <w:p w:rsidR="00ED2B37" w:rsidRDefault="004632C5">
      <w:pPr>
        <w:pStyle w:val="ESBodyText"/>
        <w:rPr>
          <w:rFonts w:eastAsiaTheme="majorEastAsia" w:cstheme="majorBidi"/>
          <w:b/>
          <w:bCs/>
          <w:color w:val="00008B"/>
          <w:szCs w:val="20"/>
        </w:rPr>
      </w:pPr>
      <w:r>
        <w:rPr>
          <w:rFonts w:eastAsiaTheme="majorEastAsia" w:cstheme="majorBidi"/>
          <w:b/>
          <w:bCs/>
          <w:color w:val="00008B"/>
          <w:szCs w:val="20"/>
        </w:rPr>
        <w:t>School Staff Survey</w:t>
      </w:r>
    </w:p>
    <w:p w:rsidR="00ED2B37" w:rsidRDefault="004632C5">
      <w:pPr>
        <w:pStyle w:val="ESBodyText"/>
      </w:pPr>
      <w:r>
        <w:t>The percent endorsement by staff on School Climate, as reported in the annual School Staff Survey.</w:t>
      </w:r>
    </w:p>
    <w:p w:rsidR="00ED2B37" w:rsidRDefault="004632C5">
      <w:pPr>
        <w:pStyle w:val="ESBodyText"/>
      </w:pPr>
      <w:r>
        <w:t xml:space="preserve">Percent </w:t>
      </w:r>
      <w:r>
        <w:t>endorsement indicates the percent of positive responses (agree or strongly agree) from staff who responded to the survey.</w:t>
      </w:r>
    </w:p>
    <w:p w:rsidR="00ED2B37" w:rsidRDefault="004632C5">
      <w:pPr>
        <w:pStyle w:val="ESBodyText"/>
        <w:spacing w:after="240"/>
      </w:pPr>
      <w:r>
        <w:t>Data is suppressed for schools with three or less respondents to the survey for confidentiality reasons.</w:t>
      </w:r>
    </w:p>
    <w:tbl>
      <w:tblPr>
        <w:tblStyle w:val="GridTable2-Accent61"/>
        <w:tblW w:w="4853" w:type="pct"/>
        <w:jc w:val="center"/>
        <w:tblLook w:val="04A0" w:firstRow="1" w:lastRow="0" w:firstColumn="1" w:lastColumn="0" w:noHBand="0" w:noVBand="1"/>
        <w:tblCaption w:val="School staff survey results"/>
      </w:tblPr>
      <w:tblGrid>
        <w:gridCol w:w="3702"/>
        <w:gridCol w:w="1687"/>
        <w:gridCol w:w="1687"/>
        <w:gridCol w:w="1687"/>
        <w:gridCol w:w="1686"/>
      </w:tblGrid>
      <w:tr w:rsidR="004161F2" w:rsidTr="004161F2">
        <w:trPr>
          <w:cnfStyle w:val="100000000000" w:firstRow="1" w:lastRow="0" w:firstColumn="0" w:lastColumn="0" w:oddVBand="0" w:evenVBand="0" w:oddHBand="0" w:evenHBand="0" w:firstRowFirstColumn="0" w:firstRowLastColumn="0" w:lastRowFirstColumn="0" w:lastRowLastColumn="0"/>
          <w:trHeight w:val="419"/>
          <w:tblHeader/>
          <w:jc w:val="center"/>
        </w:trPr>
        <w:tc>
          <w:tcPr>
            <w:cnfStyle w:val="001000000000" w:firstRow="0" w:lastRow="0" w:firstColumn="1" w:lastColumn="0" w:oddVBand="0" w:evenVBand="0" w:oddHBand="0" w:evenHBand="0" w:firstRowFirstColumn="0" w:firstRowLastColumn="0" w:lastRowFirstColumn="0" w:lastRowLastColumn="0"/>
            <w:tcW w:w="1771" w:type="pct"/>
            <w:tcBorders>
              <w:bottom w:val="single" w:sz="12" w:space="0" w:color="FFFFFF"/>
            </w:tcBorders>
            <w:shd w:val="clear" w:color="auto" w:fill="106CB5"/>
            <w:vAlign w:val="center"/>
            <w:hideMark/>
          </w:tcPr>
          <w:p w:rsidR="00ED2B37" w:rsidRDefault="004632C5">
            <w:pPr>
              <w:spacing w:before="40" w:after="40" w:line="240" w:lineRule="auto"/>
              <w:rPr>
                <w:rFonts w:cs="Times New Roman"/>
                <w:color w:val="FFFFFF"/>
                <w:szCs w:val="22"/>
              </w:rPr>
            </w:pPr>
            <w:r>
              <w:rPr>
                <w:rFonts w:cs="Times New Roman"/>
                <w:color w:val="FFFFFF"/>
                <w:szCs w:val="22"/>
              </w:rPr>
              <w:t>School Climate</w:t>
            </w:r>
          </w:p>
        </w:tc>
        <w:tc>
          <w:tcPr>
            <w:tcW w:w="807" w:type="pct"/>
            <w:tcBorders>
              <w:bottom w:val="single" w:sz="12" w:space="0" w:color="FFFFFF"/>
            </w:tcBorders>
            <w:shd w:val="clear" w:color="auto" w:fill="106CB5"/>
            <w:vAlign w:val="center"/>
            <w:hideMark/>
          </w:tcPr>
          <w:p w:rsidR="00ED2B37" w:rsidRDefault="004632C5">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color w:val="FFFFFF"/>
                <w:szCs w:val="22"/>
              </w:rPr>
              <w:t>School</w:t>
            </w:r>
          </w:p>
        </w:tc>
        <w:tc>
          <w:tcPr>
            <w:tcW w:w="807" w:type="pct"/>
            <w:tcBorders>
              <w:bottom w:val="single" w:sz="12" w:space="0" w:color="FFFFFF"/>
            </w:tcBorders>
            <w:shd w:val="clear" w:color="auto" w:fill="106CB5"/>
            <w:vAlign w:val="center"/>
            <w:hideMark/>
          </w:tcPr>
          <w:p w:rsidR="00ED2B37" w:rsidRDefault="004632C5">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color w:val="FFFFFF"/>
                <w:szCs w:val="22"/>
              </w:rPr>
              <w:t>State M</w:t>
            </w:r>
            <w:r>
              <w:rPr>
                <w:rFonts w:cs="Times New Roman"/>
                <w:color w:val="FFFFFF"/>
                <w:szCs w:val="22"/>
              </w:rPr>
              <w:t>edian</w:t>
            </w:r>
          </w:p>
        </w:tc>
        <w:tc>
          <w:tcPr>
            <w:tcW w:w="807" w:type="pct"/>
            <w:tcBorders>
              <w:bottom w:val="single" w:sz="12" w:space="0" w:color="FFFFFF"/>
            </w:tcBorders>
            <w:shd w:val="clear" w:color="auto" w:fill="106CB5"/>
            <w:vAlign w:val="center"/>
          </w:tcPr>
          <w:p w:rsidR="00ED2B37" w:rsidRDefault="004632C5">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Middle 60 percent low</w:t>
            </w:r>
          </w:p>
        </w:tc>
        <w:tc>
          <w:tcPr>
            <w:tcW w:w="807" w:type="pct"/>
            <w:tcBorders>
              <w:bottom w:val="single" w:sz="12" w:space="0" w:color="FFFFFF"/>
            </w:tcBorders>
            <w:shd w:val="clear" w:color="auto" w:fill="106CB5"/>
            <w:vAlign w:val="center"/>
            <w:hideMark/>
          </w:tcPr>
          <w:p w:rsidR="00ED2B37" w:rsidRDefault="004632C5">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Middle 60 percent high</w:t>
            </w:r>
          </w:p>
        </w:tc>
      </w:tr>
      <w:tr w:rsidR="004161F2" w:rsidTr="004161F2">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771" w:type="pct"/>
            <w:tcBorders>
              <w:top w:val="single" w:sz="12" w:space="0" w:color="FFFFFF"/>
              <w:bottom w:val="single" w:sz="2" w:space="0" w:color="106CB5"/>
            </w:tcBorders>
            <w:shd w:val="clear" w:color="auto" w:fill="FFFFFF"/>
            <w:noWrap/>
            <w:vAlign w:val="center"/>
          </w:tcPr>
          <w:p w:rsidR="00ED2B37" w:rsidRDefault="004632C5">
            <w:pPr>
              <w:spacing w:before="40" w:after="40" w:line="240" w:lineRule="auto"/>
              <w:rPr>
                <w:rFonts w:cs="Times New Roman"/>
                <w:szCs w:val="22"/>
              </w:rPr>
            </w:pPr>
          </w:p>
        </w:tc>
        <w:tc>
          <w:tcPr>
            <w:tcW w:w="807" w:type="pct"/>
            <w:tcBorders>
              <w:top w:val="single" w:sz="12" w:space="0" w:color="FFFFFF"/>
              <w:bottom w:val="single" w:sz="2" w:space="0" w:color="106CB5"/>
            </w:tcBorders>
            <w:shd w:val="clear" w:color="auto" w:fill="FFFFFF"/>
            <w:noWrap/>
            <w:vAlign w:val="center"/>
          </w:tcPr>
          <w:p w:rsidR="00ED2B37" w:rsidRDefault="004632C5">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807" w:type="pct"/>
            <w:tcBorders>
              <w:top w:val="single" w:sz="12" w:space="0" w:color="FFFFFF"/>
              <w:bottom w:val="single" w:sz="2" w:space="0" w:color="106CB5"/>
            </w:tcBorders>
            <w:shd w:val="clear" w:color="auto" w:fill="FFFFFF"/>
            <w:noWrap/>
            <w:vAlign w:val="center"/>
          </w:tcPr>
          <w:p w:rsidR="00ED2B37" w:rsidRDefault="004632C5">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807" w:type="pct"/>
            <w:tcBorders>
              <w:top w:val="single" w:sz="12" w:space="0" w:color="FFFFFF"/>
              <w:bottom w:val="single" w:sz="2" w:space="0" w:color="106CB5"/>
            </w:tcBorders>
            <w:shd w:val="clear" w:color="auto" w:fill="FFFFFF"/>
          </w:tcPr>
          <w:p w:rsidR="00ED2B37" w:rsidRDefault="004632C5">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807" w:type="pct"/>
            <w:tcBorders>
              <w:top w:val="single" w:sz="12" w:space="0" w:color="FFFFFF"/>
              <w:bottom w:val="single" w:sz="2" w:space="0" w:color="106CB5"/>
            </w:tcBorders>
            <w:shd w:val="clear" w:color="auto" w:fill="FFFFFF"/>
            <w:noWrap/>
            <w:vAlign w:val="center"/>
          </w:tcPr>
          <w:p w:rsidR="00ED2B37" w:rsidRDefault="004632C5">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r>
      <w:tr w:rsidR="004161F2" w:rsidTr="004161F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71" w:type="pct"/>
            <w:tcBorders>
              <w:top w:val="single" w:sz="2" w:space="0" w:color="106CB5"/>
              <w:bottom w:val="single" w:sz="2" w:space="0" w:color="106CB5"/>
            </w:tcBorders>
            <w:shd w:val="clear" w:color="auto" w:fill="D9D9D9"/>
            <w:noWrap/>
            <w:vAlign w:val="center"/>
            <w:hideMark/>
          </w:tcPr>
          <w:p w:rsidR="00ED2B37" w:rsidRDefault="004632C5">
            <w:pPr>
              <w:spacing w:before="40" w:after="40" w:line="240" w:lineRule="auto"/>
              <w:rPr>
                <w:rFonts w:cs="Times New Roman"/>
                <w:szCs w:val="22"/>
              </w:rPr>
            </w:pPr>
            <w:r>
              <w:rPr>
                <w:rFonts w:cs="Times New Roman"/>
                <w:szCs w:val="22"/>
              </w:rPr>
              <w:t>Percent endorsement (latest year)</w:t>
            </w:r>
          </w:p>
        </w:tc>
        <w:tc>
          <w:tcPr>
            <w:tcW w:w="807" w:type="pct"/>
            <w:tcBorders>
              <w:top w:val="single" w:sz="2" w:space="0" w:color="106CB5"/>
              <w:bottom w:val="single" w:sz="2" w:space="0" w:color="106CB5"/>
            </w:tcBorders>
            <w:shd w:val="clear" w:color="auto" w:fill="D9D9D9"/>
            <w:noWrap/>
            <w:vAlign w:val="center"/>
          </w:tcPr>
          <w:p w:rsidR="00ED2B37" w:rsidRDefault="004632C5">
            <w:pPr>
              <w:jc w:val="right"/>
              <w:cnfStyle w:val="000000100000" w:firstRow="0" w:lastRow="0" w:firstColumn="0" w:lastColumn="0" w:oddVBand="0" w:evenVBand="0" w:oddHBand="1" w:evenHBand="0" w:firstRowFirstColumn="0" w:firstRowLastColumn="0" w:lastRowFirstColumn="0" w:lastRowLastColumn="0"/>
            </w:pPr>
            <w:r>
              <w:t xml:space="preserve"> 81.4</w:t>
            </w:r>
          </w:p>
        </w:tc>
        <w:tc>
          <w:tcPr>
            <w:tcW w:w="807" w:type="pct"/>
            <w:tcBorders>
              <w:top w:val="single" w:sz="2" w:space="0" w:color="106CB5"/>
              <w:bottom w:val="single" w:sz="2" w:space="0" w:color="106CB5"/>
            </w:tcBorders>
            <w:shd w:val="clear" w:color="auto" w:fill="D9D9D9"/>
            <w:noWrap/>
            <w:vAlign w:val="center"/>
          </w:tcPr>
          <w:p w:rsidR="00ED2B37" w:rsidRDefault="004632C5">
            <w:pPr>
              <w:jc w:val="right"/>
              <w:cnfStyle w:val="000000100000" w:firstRow="0" w:lastRow="0" w:firstColumn="0" w:lastColumn="0" w:oddVBand="0" w:evenVBand="0" w:oddHBand="1" w:evenHBand="0" w:firstRowFirstColumn="0" w:firstRowLastColumn="0" w:lastRowFirstColumn="0" w:lastRowLastColumn="0"/>
            </w:pPr>
            <w:r>
              <w:t xml:space="preserve"> 79.5</w:t>
            </w:r>
          </w:p>
        </w:tc>
        <w:tc>
          <w:tcPr>
            <w:tcW w:w="807" w:type="pct"/>
            <w:tcBorders>
              <w:top w:val="single" w:sz="2" w:space="0" w:color="106CB5"/>
              <w:bottom w:val="single" w:sz="2" w:space="0" w:color="106CB5"/>
            </w:tcBorders>
            <w:shd w:val="clear" w:color="auto" w:fill="D9D9D9"/>
            <w:vAlign w:val="center"/>
          </w:tcPr>
          <w:p w:rsidR="00ED2B37" w:rsidRDefault="004632C5">
            <w:pPr>
              <w:jc w:val="right"/>
              <w:cnfStyle w:val="000000100000" w:firstRow="0" w:lastRow="0" w:firstColumn="0" w:lastColumn="0" w:oddVBand="0" w:evenVBand="0" w:oddHBand="1" w:evenHBand="0" w:firstRowFirstColumn="0" w:firstRowLastColumn="0" w:lastRowFirstColumn="0" w:lastRowLastColumn="0"/>
            </w:pPr>
            <w:r>
              <w:t xml:space="preserve"> 68.5</w:t>
            </w:r>
          </w:p>
        </w:tc>
        <w:tc>
          <w:tcPr>
            <w:tcW w:w="807" w:type="pct"/>
            <w:tcBorders>
              <w:top w:val="single" w:sz="2" w:space="0" w:color="106CB5"/>
              <w:bottom w:val="single" w:sz="2" w:space="0" w:color="106CB5"/>
            </w:tcBorders>
            <w:shd w:val="clear" w:color="auto" w:fill="D9D9D9"/>
            <w:noWrap/>
            <w:vAlign w:val="center"/>
          </w:tcPr>
          <w:p w:rsidR="00ED2B37" w:rsidRDefault="004632C5">
            <w:pPr>
              <w:jc w:val="right"/>
              <w:cnfStyle w:val="000000100000" w:firstRow="0" w:lastRow="0" w:firstColumn="0" w:lastColumn="0" w:oddVBand="0" w:evenVBand="0" w:oddHBand="1" w:evenHBand="0" w:firstRowFirstColumn="0" w:firstRowLastColumn="0" w:lastRowFirstColumn="0" w:lastRowLastColumn="0"/>
            </w:pPr>
            <w:r>
              <w:t xml:space="preserve"> 87.9</w:t>
            </w:r>
          </w:p>
        </w:tc>
      </w:tr>
    </w:tbl>
    <w:p w:rsidR="00ED2B37" w:rsidRDefault="004632C5">
      <w:pPr>
        <w:spacing w:after="0" w:line="240" w:lineRule="auto"/>
        <w:rPr>
          <w:rFonts w:eastAsiaTheme="majorEastAsia" w:cstheme="majorBidi"/>
          <w:b/>
          <w:bCs/>
          <w:caps/>
          <w:color w:val="AF272F"/>
          <w:sz w:val="20"/>
          <w:szCs w:val="20"/>
        </w:rPr>
      </w:pPr>
      <w:r>
        <w:br w:type="page"/>
      </w:r>
    </w:p>
    <w:p w:rsidR="00ED2B37" w:rsidRDefault="004632C5">
      <w:pPr>
        <w:pStyle w:val="ESBodyText"/>
        <w:ind w:left="567" w:hanging="567"/>
        <w:rPr>
          <w:b/>
          <w:i/>
        </w:rPr>
      </w:pPr>
      <w:r>
        <w:rPr>
          <w:b/>
          <w:i/>
        </w:rPr>
        <w:lastRenderedPageBreak/>
        <w:t>Key:</w:t>
      </w:r>
      <w:r>
        <w:rPr>
          <w:b/>
          <w:i/>
        </w:rPr>
        <w:tab/>
        <w:t>“Middle 60 percent low” to “middle 60 percent high” is the range of results for the middle 60 percent of</w:t>
      </w:r>
      <w:r>
        <w:rPr>
          <w:b/>
          <w:i/>
        </w:rPr>
        <w:t xml:space="preserve"> Victorian Government primary year levels.</w:t>
      </w:r>
    </w:p>
    <w:p w:rsidR="00ED2B37" w:rsidRDefault="004632C5">
      <w:pPr>
        <w:pStyle w:val="ESBodyText"/>
        <w:ind w:left="567"/>
        <w:rPr>
          <w:b/>
          <w:i/>
        </w:rPr>
      </w:pPr>
      <w:r>
        <w:rPr>
          <w:b/>
          <w:i/>
        </w:rPr>
        <w:t>“Similar School Comparison” is a way of comparing school performance to similar schools in Victoria that takes into account the school’s socioeconomic background of students, the number of non-English speaking stu</w:t>
      </w:r>
      <w:r>
        <w:rPr>
          <w:b/>
          <w:i/>
        </w:rPr>
        <w:t xml:space="preserve">dents and the size and location of the school. . Possible Similar School Comparison values are ‘Similar’, ‘Above’ or ‘Below’ relative to the similar schools group with similar characteristics. </w:t>
      </w:r>
    </w:p>
    <w:p w:rsidR="00ED2B37" w:rsidRDefault="004632C5">
      <w:pPr>
        <w:pStyle w:val="ESHeading2"/>
        <w:rPr>
          <w:color w:val="00008B"/>
          <w:u w:val="single"/>
        </w:rPr>
      </w:pPr>
      <w:r>
        <w:rPr>
          <w:color w:val="00008B"/>
          <w:u w:val="single"/>
        </w:rPr>
        <w:t>Achievement</w:t>
      </w:r>
    </w:p>
    <w:p w:rsidR="00ED2B37" w:rsidRDefault="004632C5">
      <w:pPr>
        <w:pStyle w:val="ESBodyText"/>
        <w:rPr>
          <w:rFonts w:eastAsiaTheme="majorEastAsia" w:cstheme="majorBidi"/>
          <w:b/>
          <w:bCs/>
          <w:color w:val="00008B"/>
          <w:szCs w:val="20"/>
        </w:rPr>
      </w:pPr>
      <w:r>
        <w:rPr>
          <w:rFonts w:eastAsiaTheme="majorEastAsia" w:cstheme="majorBidi"/>
          <w:b/>
          <w:bCs/>
          <w:color w:val="00008B"/>
          <w:szCs w:val="20"/>
        </w:rPr>
        <w:t>Teacher Judgement of student achievement</w:t>
      </w:r>
    </w:p>
    <w:p w:rsidR="00ED2B37" w:rsidRDefault="004632C5">
      <w:pPr>
        <w:pStyle w:val="ESBodyText"/>
      </w:pPr>
      <w:r>
        <w:t>Percentag</w:t>
      </w:r>
      <w:r>
        <w:t>e of students in year levels Prep to 6 working at or above age expected standards in:</w:t>
      </w:r>
    </w:p>
    <w:p w:rsidR="00ED2B37" w:rsidRDefault="004632C5">
      <w:pPr>
        <w:pStyle w:val="ESBodyText"/>
        <w:numPr>
          <w:ilvl w:val="0"/>
          <w:numId w:val="27"/>
        </w:numPr>
      </w:pPr>
      <w:r>
        <w:t>English</w:t>
      </w:r>
    </w:p>
    <w:p w:rsidR="00ED2B37" w:rsidRDefault="004632C5">
      <w:pPr>
        <w:pStyle w:val="ESBodyText"/>
        <w:numPr>
          <w:ilvl w:val="0"/>
          <w:numId w:val="27"/>
        </w:numPr>
      </w:pPr>
      <w:r>
        <w:t>Mathematics</w:t>
      </w:r>
    </w:p>
    <w:p w:rsidR="00ED2B37" w:rsidRDefault="004632C5">
      <w:pPr>
        <w:pStyle w:val="ESBodyText"/>
      </w:pPr>
    </w:p>
    <w:tbl>
      <w:tblPr>
        <w:tblStyle w:val="GridTable2-Accent61"/>
        <w:tblW w:w="4850" w:type="pct"/>
        <w:jc w:val="center"/>
        <w:tblLook w:val="04A0" w:firstRow="1" w:lastRow="0" w:firstColumn="1" w:lastColumn="0" w:noHBand="0" w:noVBand="1"/>
        <w:tblCaption w:val="Teacher judgement of student achievement"/>
      </w:tblPr>
      <w:tblGrid>
        <w:gridCol w:w="4154"/>
        <w:gridCol w:w="1255"/>
        <w:gridCol w:w="1255"/>
        <w:gridCol w:w="1256"/>
        <w:gridCol w:w="1256"/>
        <w:gridCol w:w="1267"/>
      </w:tblGrid>
      <w:tr w:rsidR="004161F2" w:rsidTr="004161F2">
        <w:trPr>
          <w:cnfStyle w:val="100000000000" w:firstRow="1" w:lastRow="0" w:firstColumn="0" w:lastColumn="0" w:oddVBand="0" w:evenVBand="0" w:oddHBand="0" w:evenHBand="0" w:firstRowFirstColumn="0" w:firstRowLastColumn="0" w:lastRowFirstColumn="0" w:lastRowLastColumn="0"/>
          <w:trHeight w:val="619"/>
          <w:tblHeader/>
          <w:jc w:val="center"/>
        </w:trPr>
        <w:tc>
          <w:tcPr>
            <w:cnfStyle w:val="001000000000" w:firstRow="0" w:lastRow="0" w:firstColumn="1" w:lastColumn="0" w:oddVBand="0" w:evenVBand="0" w:oddHBand="0" w:evenHBand="0" w:firstRowFirstColumn="0" w:firstRowLastColumn="0" w:lastRowFirstColumn="0" w:lastRowLastColumn="0"/>
            <w:tcW w:w="1990" w:type="pct"/>
            <w:tcBorders>
              <w:bottom w:val="single" w:sz="12" w:space="0" w:color="FFFFFF"/>
            </w:tcBorders>
            <w:shd w:val="clear" w:color="auto" w:fill="106CB5"/>
            <w:vAlign w:val="center"/>
            <w:hideMark/>
          </w:tcPr>
          <w:p w:rsidR="00ED2B37" w:rsidRDefault="004632C5">
            <w:pPr>
              <w:spacing w:before="40" w:after="40" w:line="240" w:lineRule="auto"/>
              <w:rPr>
                <w:rFonts w:cs="Times New Roman"/>
                <w:color w:val="FFFFFF"/>
                <w:szCs w:val="22"/>
              </w:rPr>
            </w:pPr>
            <w:r>
              <w:rPr>
                <w:rFonts w:cs="Times New Roman"/>
                <w:color w:val="FFFFFF"/>
                <w:szCs w:val="22"/>
              </w:rPr>
              <w:t>Teacher Judgments at or above age expected standards (latest year)</w:t>
            </w:r>
          </w:p>
        </w:tc>
        <w:tc>
          <w:tcPr>
            <w:tcW w:w="602" w:type="pct"/>
            <w:tcBorders>
              <w:bottom w:val="single" w:sz="12" w:space="0" w:color="FFFFFF"/>
            </w:tcBorders>
            <w:shd w:val="clear" w:color="auto" w:fill="106CB5"/>
            <w:vAlign w:val="center"/>
            <w:hideMark/>
          </w:tcPr>
          <w:p w:rsidR="00ED2B37" w:rsidRDefault="004632C5">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color w:val="FFFFFF"/>
                <w:szCs w:val="22"/>
              </w:rPr>
              <w:t>School</w:t>
            </w:r>
          </w:p>
        </w:tc>
        <w:tc>
          <w:tcPr>
            <w:tcW w:w="602" w:type="pct"/>
            <w:tcBorders>
              <w:bottom w:val="single" w:sz="12" w:space="0" w:color="FFFFFF"/>
            </w:tcBorders>
            <w:shd w:val="clear" w:color="auto" w:fill="106CB5"/>
            <w:vAlign w:val="center"/>
            <w:hideMark/>
          </w:tcPr>
          <w:p w:rsidR="00ED2B37" w:rsidRDefault="004632C5">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color w:val="FFFFFF"/>
                <w:szCs w:val="22"/>
              </w:rPr>
              <w:t>State Median</w:t>
            </w:r>
          </w:p>
        </w:tc>
        <w:tc>
          <w:tcPr>
            <w:tcW w:w="602" w:type="pct"/>
            <w:tcBorders>
              <w:bottom w:val="single" w:sz="12" w:space="0" w:color="FFFFFF"/>
            </w:tcBorders>
            <w:shd w:val="clear" w:color="auto" w:fill="106CB5"/>
            <w:vAlign w:val="center"/>
          </w:tcPr>
          <w:p w:rsidR="00ED2B37" w:rsidRDefault="004632C5">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Middle 60 percent low</w:t>
            </w:r>
          </w:p>
        </w:tc>
        <w:tc>
          <w:tcPr>
            <w:tcW w:w="602" w:type="pct"/>
            <w:tcBorders>
              <w:bottom w:val="single" w:sz="12" w:space="0" w:color="FFFFFF"/>
            </w:tcBorders>
            <w:shd w:val="clear" w:color="auto" w:fill="106CB5"/>
            <w:vAlign w:val="center"/>
            <w:hideMark/>
          </w:tcPr>
          <w:p w:rsidR="00ED2B37" w:rsidRDefault="004632C5">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Middle 60 percent high</w:t>
            </w:r>
          </w:p>
        </w:tc>
        <w:tc>
          <w:tcPr>
            <w:tcW w:w="602" w:type="pct"/>
            <w:tcBorders>
              <w:bottom w:val="single" w:sz="12" w:space="0" w:color="FFFFFF"/>
            </w:tcBorders>
            <w:shd w:val="clear" w:color="auto" w:fill="106CB5"/>
            <w:vAlign w:val="center"/>
          </w:tcPr>
          <w:p w:rsidR="00ED2B37" w:rsidRDefault="004632C5">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 xml:space="preserve">Similar School </w:t>
            </w:r>
            <w:r>
              <w:rPr>
                <w:rFonts w:cs="Times New Roman"/>
                <w:bCs w:val="0"/>
                <w:color w:val="FFFFFF"/>
                <w:szCs w:val="22"/>
              </w:rPr>
              <w:t>Comparison</w:t>
            </w:r>
          </w:p>
        </w:tc>
      </w:tr>
      <w:tr w:rsidR="004161F2" w:rsidTr="004161F2">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990" w:type="pct"/>
            <w:tcBorders>
              <w:top w:val="single" w:sz="12" w:space="0" w:color="FFFFFF"/>
              <w:bottom w:val="single" w:sz="2" w:space="0" w:color="106CB5"/>
            </w:tcBorders>
            <w:shd w:val="clear" w:color="auto" w:fill="FFFFFF"/>
            <w:noWrap/>
            <w:vAlign w:val="center"/>
          </w:tcPr>
          <w:p w:rsidR="00ED2B37" w:rsidRDefault="004632C5">
            <w:pPr>
              <w:spacing w:before="40" w:after="40" w:line="240" w:lineRule="auto"/>
              <w:rPr>
                <w:rFonts w:cs="Times New Roman"/>
                <w:szCs w:val="22"/>
              </w:rPr>
            </w:pPr>
            <w:r>
              <w:rPr>
                <w:rFonts w:cs="Times New Roman"/>
                <w:szCs w:val="22"/>
              </w:rPr>
              <w:t>Domain</w:t>
            </w:r>
          </w:p>
        </w:tc>
        <w:tc>
          <w:tcPr>
            <w:tcW w:w="602" w:type="pct"/>
            <w:tcBorders>
              <w:top w:val="single" w:sz="12" w:space="0" w:color="FFFFFF"/>
              <w:bottom w:val="single" w:sz="2" w:space="0" w:color="106CB5"/>
            </w:tcBorders>
            <w:shd w:val="clear" w:color="auto" w:fill="FFFFFF"/>
            <w:noWrap/>
            <w:vAlign w:val="center"/>
          </w:tcPr>
          <w:p w:rsidR="00ED2B37" w:rsidRDefault="004632C5">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602" w:type="pct"/>
            <w:tcBorders>
              <w:top w:val="single" w:sz="12" w:space="0" w:color="FFFFFF"/>
              <w:bottom w:val="single" w:sz="2" w:space="0" w:color="106CB5"/>
            </w:tcBorders>
            <w:shd w:val="clear" w:color="auto" w:fill="FFFFFF"/>
            <w:noWrap/>
            <w:vAlign w:val="center"/>
          </w:tcPr>
          <w:p w:rsidR="00ED2B37" w:rsidRDefault="004632C5">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602" w:type="pct"/>
            <w:tcBorders>
              <w:top w:val="single" w:sz="12" w:space="0" w:color="FFFFFF"/>
              <w:bottom w:val="single" w:sz="2" w:space="0" w:color="106CB5"/>
            </w:tcBorders>
            <w:shd w:val="clear" w:color="auto" w:fill="FFFFFF"/>
          </w:tcPr>
          <w:p w:rsidR="00ED2B37" w:rsidRDefault="004632C5">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602" w:type="pct"/>
            <w:tcBorders>
              <w:top w:val="single" w:sz="12" w:space="0" w:color="FFFFFF"/>
              <w:bottom w:val="single" w:sz="2" w:space="0" w:color="106CB5"/>
            </w:tcBorders>
            <w:shd w:val="clear" w:color="auto" w:fill="FFFFFF"/>
            <w:noWrap/>
            <w:vAlign w:val="center"/>
          </w:tcPr>
          <w:p w:rsidR="00ED2B37" w:rsidRDefault="004632C5">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602" w:type="pct"/>
            <w:tcBorders>
              <w:top w:val="single" w:sz="12" w:space="0" w:color="FFFFFF"/>
              <w:bottom w:val="single" w:sz="2" w:space="0" w:color="106CB5"/>
            </w:tcBorders>
            <w:shd w:val="clear" w:color="auto" w:fill="FFFFFF"/>
          </w:tcPr>
          <w:p w:rsidR="00ED2B37" w:rsidRDefault="004632C5">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p>
        </w:tc>
      </w:tr>
      <w:tr w:rsidR="004161F2" w:rsidTr="004161F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90" w:type="pct"/>
            <w:tcBorders>
              <w:top w:val="single" w:sz="2" w:space="0" w:color="106CB5"/>
              <w:bottom w:val="single" w:sz="2" w:space="0" w:color="106CB5"/>
            </w:tcBorders>
            <w:shd w:val="clear" w:color="auto" w:fill="D9D9D9"/>
            <w:noWrap/>
            <w:vAlign w:val="center"/>
          </w:tcPr>
          <w:p w:rsidR="00ED2B37" w:rsidRDefault="004632C5">
            <w:pPr>
              <w:spacing w:before="40" w:after="40" w:line="240" w:lineRule="auto"/>
              <w:rPr>
                <w:rFonts w:cs="Times New Roman"/>
                <w:szCs w:val="22"/>
              </w:rPr>
            </w:pPr>
            <w:r>
              <w:rPr>
                <w:rFonts w:cs="Times New Roman"/>
                <w:b w:val="0"/>
                <w:szCs w:val="22"/>
              </w:rPr>
              <w:t>English</w:t>
            </w:r>
          </w:p>
        </w:tc>
        <w:tc>
          <w:tcPr>
            <w:tcW w:w="602" w:type="pct"/>
            <w:tcBorders>
              <w:top w:val="single" w:sz="2" w:space="0" w:color="106CB5"/>
              <w:bottom w:val="single" w:sz="2" w:space="0" w:color="106CB5"/>
            </w:tcBorders>
            <w:shd w:val="clear" w:color="auto" w:fill="D9D9D9"/>
            <w:noWrap/>
            <w:vAlign w:val="bottom"/>
          </w:tcPr>
          <w:p w:rsidR="00ED2B37" w:rsidRDefault="004632C5">
            <w:pPr>
              <w:jc w:val="right"/>
              <w:cnfStyle w:val="000000100000" w:firstRow="0" w:lastRow="0" w:firstColumn="0" w:lastColumn="0" w:oddVBand="0" w:evenVBand="0" w:oddHBand="1" w:evenHBand="0" w:firstRowFirstColumn="0" w:firstRowLastColumn="0" w:lastRowFirstColumn="0" w:lastRowLastColumn="0"/>
            </w:pPr>
            <w:r>
              <w:t>89.7</w:t>
            </w:r>
          </w:p>
        </w:tc>
        <w:tc>
          <w:tcPr>
            <w:tcW w:w="602" w:type="pct"/>
            <w:tcBorders>
              <w:top w:val="single" w:sz="2" w:space="0" w:color="106CB5"/>
              <w:bottom w:val="single" w:sz="2" w:space="0" w:color="106CB5"/>
            </w:tcBorders>
            <w:shd w:val="clear" w:color="auto" w:fill="D9D9D9"/>
            <w:noWrap/>
            <w:vAlign w:val="bottom"/>
          </w:tcPr>
          <w:p w:rsidR="00ED2B37" w:rsidRDefault="004632C5">
            <w:pPr>
              <w:jc w:val="right"/>
              <w:cnfStyle w:val="000000100000" w:firstRow="0" w:lastRow="0" w:firstColumn="0" w:lastColumn="0" w:oddVBand="0" w:evenVBand="0" w:oddHBand="1" w:evenHBand="0" w:firstRowFirstColumn="0" w:firstRowLastColumn="0" w:lastRowFirstColumn="0" w:lastRowLastColumn="0"/>
            </w:pPr>
            <w:r>
              <w:t>89.7</w:t>
            </w:r>
          </w:p>
        </w:tc>
        <w:tc>
          <w:tcPr>
            <w:tcW w:w="602" w:type="pct"/>
            <w:tcBorders>
              <w:top w:val="single" w:sz="2" w:space="0" w:color="106CB5"/>
              <w:bottom w:val="single" w:sz="2" w:space="0" w:color="106CB5"/>
            </w:tcBorders>
            <w:shd w:val="clear" w:color="auto" w:fill="D9D9D9"/>
            <w:vAlign w:val="bottom"/>
          </w:tcPr>
          <w:p w:rsidR="00ED2B37" w:rsidRDefault="004632C5">
            <w:pPr>
              <w:jc w:val="right"/>
              <w:cnfStyle w:val="000000100000" w:firstRow="0" w:lastRow="0" w:firstColumn="0" w:lastColumn="0" w:oddVBand="0" w:evenVBand="0" w:oddHBand="1" w:evenHBand="0" w:firstRowFirstColumn="0" w:firstRowLastColumn="0" w:lastRowFirstColumn="0" w:lastRowLastColumn="0"/>
            </w:pPr>
            <w:r>
              <w:t>81.7</w:t>
            </w:r>
          </w:p>
        </w:tc>
        <w:tc>
          <w:tcPr>
            <w:tcW w:w="602" w:type="pct"/>
            <w:tcBorders>
              <w:top w:val="single" w:sz="2" w:space="0" w:color="106CB5"/>
              <w:bottom w:val="single" w:sz="2" w:space="0" w:color="106CB5"/>
            </w:tcBorders>
            <w:shd w:val="clear" w:color="auto" w:fill="D9D9D9"/>
            <w:noWrap/>
            <w:vAlign w:val="bottom"/>
          </w:tcPr>
          <w:p w:rsidR="00ED2B37" w:rsidRDefault="004632C5">
            <w:pPr>
              <w:jc w:val="right"/>
              <w:cnfStyle w:val="000000100000" w:firstRow="0" w:lastRow="0" w:firstColumn="0" w:lastColumn="0" w:oddVBand="0" w:evenVBand="0" w:oddHBand="1" w:evenHBand="0" w:firstRowFirstColumn="0" w:firstRowLastColumn="0" w:lastRowFirstColumn="0" w:lastRowLastColumn="0"/>
            </w:pPr>
            <w:r>
              <w:t>95.0</w:t>
            </w:r>
          </w:p>
        </w:tc>
        <w:tc>
          <w:tcPr>
            <w:tcW w:w="602" w:type="pct"/>
            <w:tcBorders>
              <w:top w:val="single" w:sz="2" w:space="0" w:color="106CB5"/>
              <w:bottom w:val="single" w:sz="2" w:space="0" w:color="106CB5"/>
            </w:tcBorders>
            <w:shd w:val="clear" w:color="auto" w:fill="D9D9D9"/>
            <w:vAlign w:val="bottom"/>
          </w:tcPr>
          <w:p w:rsidR="00ED2B37" w:rsidRDefault="004632C5">
            <w:pPr>
              <w:jc w:val="right"/>
              <w:cnfStyle w:val="000000100000" w:firstRow="0" w:lastRow="0" w:firstColumn="0" w:lastColumn="0" w:oddVBand="0" w:evenVBand="0" w:oddHBand="1" w:evenHBand="0" w:firstRowFirstColumn="0" w:firstRowLastColumn="0" w:lastRowFirstColumn="0" w:lastRowLastColumn="0"/>
            </w:pPr>
            <w:r>
              <w:t>Similar</w:t>
            </w:r>
          </w:p>
        </w:tc>
      </w:tr>
      <w:tr w:rsidR="004161F2" w:rsidTr="004161F2">
        <w:trPr>
          <w:jc w:val="center"/>
        </w:trPr>
        <w:tc>
          <w:tcPr>
            <w:cnfStyle w:val="001000000000" w:firstRow="0" w:lastRow="0" w:firstColumn="1" w:lastColumn="0" w:oddVBand="0" w:evenVBand="0" w:oddHBand="0" w:evenHBand="0" w:firstRowFirstColumn="0" w:firstRowLastColumn="0" w:lastRowFirstColumn="0" w:lastRowLastColumn="0"/>
            <w:tcW w:w="1990" w:type="pct"/>
            <w:tcBorders>
              <w:top w:val="single" w:sz="2" w:space="0" w:color="106CB5"/>
              <w:bottom w:val="single" w:sz="2" w:space="0" w:color="106CB5"/>
            </w:tcBorders>
            <w:shd w:val="clear" w:color="auto" w:fill="auto"/>
            <w:noWrap/>
            <w:vAlign w:val="center"/>
            <w:hideMark/>
          </w:tcPr>
          <w:p w:rsidR="00ED2B37" w:rsidRDefault="004632C5">
            <w:pPr>
              <w:spacing w:before="40" w:after="40" w:line="240" w:lineRule="auto"/>
              <w:rPr>
                <w:rFonts w:cs="Times New Roman"/>
                <w:szCs w:val="22"/>
              </w:rPr>
            </w:pPr>
            <w:r>
              <w:rPr>
                <w:rFonts w:cs="Times New Roman"/>
                <w:b w:val="0"/>
                <w:szCs w:val="22"/>
              </w:rPr>
              <w:t>Mathematics</w:t>
            </w:r>
          </w:p>
        </w:tc>
        <w:tc>
          <w:tcPr>
            <w:tcW w:w="602" w:type="pct"/>
            <w:tcBorders>
              <w:top w:val="single" w:sz="2" w:space="0" w:color="106CB5"/>
              <w:bottom w:val="single" w:sz="2" w:space="0" w:color="106CB5"/>
            </w:tcBorders>
            <w:shd w:val="clear" w:color="auto" w:fill="auto"/>
            <w:noWrap/>
            <w:vAlign w:val="bottom"/>
          </w:tcPr>
          <w:p w:rsidR="00ED2B37" w:rsidRDefault="004632C5">
            <w:pPr>
              <w:jc w:val="right"/>
              <w:cnfStyle w:val="000000000000" w:firstRow="0" w:lastRow="0" w:firstColumn="0" w:lastColumn="0" w:oddVBand="0" w:evenVBand="0" w:oddHBand="0" w:evenHBand="0" w:firstRowFirstColumn="0" w:firstRowLastColumn="0" w:lastRowFirstColumn="0" w:lastRowLastColumn="0"/>
            </w:pPr>
            <w:r>
              <w:t>90.3</w:t>
            </w:r>
          </w:p>
        </w:tc>
        <w:tc>
          <w:tcPr>
            <w:tcW w:w="602" w:type="pct"/>
            <w:tcBorders>
              <w:top w:val="single" w:sz="2" w:space="0" w:color="106CB5"/>
              <w:bottom w:val="single" w:sz="2" w:space="0" w:color="106CB5"/>
            </w:tcBorders>
            <w:shd w:val="clear" w:color="auto" w:fill="auto"/>
            <w:noWrap/>
            <w:vAlign w:val="bottom"/>
          </w:tcPr>
          <w:p w:rsidR="00ED2B37" w:rsidRDefault="004632C5">
            <w:pPr>
              <w:jc w:val="right"/>
              <w:cnfStyle w:val="000000000000" w:firstRow="0" w:lastRow="0" w:firstColumn="0" w:lastColumn="0" w:oddVBand="0" w:evenVBand="0" w:oddHBand="0" w:evenHBand="0" w:firstRowFirstColumn="0" w:firstRowLastColumn="0" w:lastRowFirstColumn="0" w:lastRowLastColumn="0"/>
            </w:pPr>
            <w:r>
              <w:t>90.3</w:t>
            </w:r>
          </w:p>
        </w:tc>
        <w:tc>
          <w:tcPr>
            <w:tcW w:w="602" w:type="pct"/>
            <w:tcBorders>
              <w:top w:val="single" w:sz="2" w:space="0" w:color="106CB5"/>
              <w:bottom w:val="single" w:sz="2" w:space="0" w:color="106CB5"/>
            </w:tcBorders>
            <w:shd w:val="clear" w:color="auto" w:fill="auto"/>
            <w:vAlign w:val="bottom"/>
          </w:tcPr>
          <w:p w:rsidR="00ED2B37" w:rsidRDefault="004632C5">
            <w:pPr>
              <w:jc w:val="right"/>
              <w:cnfStyle w:val="000000000000" w:firstRow="0" w:lastRow="0" w:firstColumn="0" w:lastColumn="0" w:oddVBand="0" w:evenVBand="0" w:oddHBand="0" w:evenHBand="0" w:firstRowFirstColumn="0" w:firstRowLastColumn="0" w:lastRowFirstColumn="0" w:lastRowLastColumn="0"/>
            </w:pPr>
            <w:r>
              <w:t>81.8</w:t>
            </w:r>
          </w:p>
        </w:tc>
        <w:tc>
          <w:tcPr>
            <w:tcW w:w="602" w:type="pct"/>
            <w:tcBorders>
              <w:top w:val="single" w:sz="2" w:space="0" w:color="106CB5"/>
              <w:bottom w:val="single" w:sz="2" w:space="0" w:color="106CB5"/>
            </w:tcBorders>
            <w:shd w:val="clear" w:color="auto" w:fill="auto"/>
            <w:noWrap/>
            <w:vAlign w:val="bottom"/>
          </w:tcPr>
          <w:p w:rsidR="00ED2B37" w:rsidRDefault="004632C5">
            <w:pPr>
              <w:jc w:val="right"/>
              <w:cnfStyle w:val="000000000000" w:firstRow="0" w:lastRow="0" w:firstColumn="0" w:lastColumn="0" w:oddVBand="0" w:evenVBand="0" w:oddHBand="0" w:evenHBand="0" w:firstRowFirstColumn="0" w:firstRowLastColumn="0" w:lastRowFirstColumn="0" w:lastRowLastColumn="0"/>
            </w:pPr>
            <w:r>
              <w:t>95.8</w:t>
            </w:r>
          </w:p>
        </w:tc>
        <w:tc>
          <w:tcPr>
            <w:tcW w:w="602" w:type="pct"/>
            <w:tcBorders>
              <w:top w:val="single" w:sz="2" w:space="0" w:color="106CB5"/>
              <w:bottom w:val="single" w:sz="2" w:space="0" w:color="106CB5"/>
            </w:tcBorders>
            <w:vAlign w:val="bottom"/>
          </w:tcPr>
          <w:p w:rsidR="00ED2B37" w:rsidRDefault="004632C5">
            <w:pPr>
              <w:jc w:val="right"/>
              <w:cnfStyle w:val="000000000000" w:firstRow="0" w:lastRow="0" w:firstColumn="0" w:lastColumn="0" w:oddVBand="0" w:evenVBand="0" w:oddHBand="0" w:evenHBand="0" w:firstRowFirstColumn="0" w:firstRowLastColumn="0" w:lastRowFirstColumn="0" w:lastRowLastColumn="0"/>
            </w:pPr>
            <w:r>
              <w:t>Similar</w:t>
            </w:r>
          </w:p>
        </w:tc>
      </w:tr>
    </w:tbl>
    <w:p w:rsidR="00ED2B37" w:rsidRDefault="004632C5">
      <w:pPr>
        <w:pStyle w:val="ESBodyText"/>
      </w:pPr>
    </w:p>
    <w:p w:rsidR="00ED2B37" w:rsidRDefault="004632C5">
      <w:pPr>
        <w:pStyle w:val="ESBodyText"/>
        <w:rPr>
          <w:rFonts w:eastAsiaTheme="majorEastAsia" w:cstheme="majorBidi"/>
          <w:b/>
          <w:bCs/>
          <w:color w:val="00008B"/>
          <w:szCs w:val="20"/>
        </w:rPr>
      </w:pPr>
      <w:r>
        <w:rPr>
          <w:rFonts w:eastAsiaTheme="majorEastAsia" w:cstheme="majorBidi"/>
          <w:b/>
          <w:bCs/>
          <w:color w:val="00008B"/>
          <w:szCs w:val="20"/>
        </w:rPr>
        <w:t>NAPLAN Year 3 and Year 5</w:t>
      </w:r>
    </w:p>
    <w:p w:rsidR="00ED2B37" w:rsidRDefault="004632C5">
      <w:pPr>
        <w:pStyle w:val="ESBodyText"/>
      </w:pPr>
      <w:r>
        <w:t>The percentage of students in the top three bands of testing in NAPLAN at year levels 3 and 5.</w:t>
      </w:r>
    </w:p>
    <w:p w:rsidR="00ED2B37" w:rsidRDefault="004632C5">
      <w:pPr>
        <w:pStyle w:val="ESBodyText"/>
      </w:pPr>
      <w:r>
        <w:t>Year</w:t>
      </w:r>
      <w:r>
        <w:t xml:space="preserve"> 3 assessments are reported on a scale from Bands 1 to 6.</w:t>
      </w:r>
    </w:p>
    <w:p w:rsidR="00ED2B37" w:rsidRDefault="004632C5">
      <w:pPr>
        <w:pStyle w:val="ESBodyText"/>
      </w:pPr>
      <w:r>
        <w:rPr>
          <w:rFonts w:eastAsia="Arial"/>
          <w:color w:val="000000"/>
        </w:rPr>
        <w:t>Year 5 assessments are reported on a scale from Bands 3 to 8.</w:t>
      </w:r>
    </w:p>
    <w:tbl>
      <w:tblPr>
        <w:tblStyle w:val="GridTable2-Accent611"/>
        <w:tblW w:w="10628" w:type="dxa"/>
        <w:jc w:val="center"/>
        <w:tblLayout w:type="fixed"/>
        <w:tblLook w:val="04A0" w:firstRow="1" w:lastRow="0" w:firstColumn="1" w:lastColumn="0" w:noHBand="0" w:noVBand="1"/>
        <w:tblCaption w:val="NAPLAN results - Year 3, Year 5, Year 7 and Year 9"/>
      </w:tblPr>
      <w:tblGrid>
        <w:gridCol w:w="2058"/>
        <w:gridCol w:w="2551"/>
        <w:gridCol w:w="1169"/>
        <w:gridCol w:w="1170"/>
        <w:gridCol w:w="1169"/>
        <w:gridCol w:w="1170"/>
        <w:gridCol w:w="1341"/>
      </w:tblGrid>
      <w:tr w:rsidR="004161F2" w:rsidTr="004161F2">
        <w:trPr>
          <w:cnfStyle w:val="100000000000" w:firstRow="1" w:lastRow="0" w:firstColumn="0" w:lastColumn="0" w:oddVBand="0" w:evenVBand="0" w:oddHBand="0" w:evenHBand="0" w:firstRowFirstColumn="0" w:firstRowLastColumn="0" w:lastRowFirstColumn="0" w:lastRowLastColumn="0"/>
          <w:trHeight w:val="611"/>
          <w:tblHeader/>
          <w:jc w:val="center"/>
        </w:trPr>
        <w:tc>
          <w:tcPr>
            <w:cnfStyle w:val="001000000000" w:firstRow="0" w:lastRow="0" w:firstColumn="1" w:lastColumn="0" w:oddVBand="0" w:evenVBand="0" w:oddHBand="0" w:evenHBand="0" w:firstRowFirstColumn="0" w:firstRowLastColumn="0" w:lastRowFirstColumn="0" w:lastRowLastColumn="0"/>
            <w:tcW w:w="2058" w:type="dxa"/>
            <w:tcBorders>
              <w:bottom w:val="single" w:sz="12" w:space="0" w:color="FFFFFF"/>
            </w:tcBorders>
            <w:shd w:val="clear" w:color="auto" w:fill="106CB5"/>
            <w:vAlign w:val="center"/>
          </w:tcPr>
          <w:p w:rsidR="00ED2B37" w:rsidRDefault="004632C5">
            <w:pPr>
              <w:spacing w:before="40" w:after="40" w:line="240" w:lineRule="auto"/>
              <w:rPr>
                <w:rFonts w:cs="Times New Roman"/>
                <w:color w:val="FFFFFF"/>
                <w:szCs w:val="22"/>
              </w:rPr>
            </w:pPr>
            <w:r>
              <w:rPr>
                <w:rFonts w:cs="Times New Roman"/>
                <w:bCs w:val="0"/>
                <w:color w:val="FFFFFF"/>
                <w:szCs w:val="22"/>
              </w:rPr>
              <w:t>NAPLAN top 3 bands</w:t>
            </w:r>
          </w:p>
          <w:p w:rsidR="00ED2B37" w:rsidRDefault="004632C5">
            <w:pPr>
              <w:spacing w:before="40" w:after="40" w:line="240" w:lineRule="auto"/>
              <w:rPr>
                <w:rFonts w:cs="Times New Roman"/>
                <w:color w:val="FFFFFF"/>
                <w:szCs w:val="22"/>
              </w:rPr>
            </w:pPr>
            <w:r>
              <w:rPr>
                <w:rFonts w:cs="Times New Roman"/>
                <w:bCs w:val="0"/>
                <w:color w:val="FFFFFF"/>
                <w:szCs w:val="22"/>
              </w:rPr>
              <w:t>(latest year)</w:t>
            </w:r>
          </w:p>
        </w:tc>
        <w:tc>
          <w:tcPr>
            <w:tcW w:w="2551" w:type="dxa"/>
            <w:tcBorders>
              <w:bottom w:val="single" w:sz="12" w:space="0" w:color="FFFFFF"/>
            </w:tcBorders>
            <w:shd w:val="clear" w:color="auto" w:fill="106CB5"/>
            <w:noWrap/>
            <w:vAlign w:val="center"/>
            <w:hideMark/>
          </w:tcPr>
          <w:p w:rsidR="00ED2B37" w:rsidRDefault="004632C5">
            <w:pPr>
              <w:spacing w:before="40" w:after="40" w:line="240" w:lineRule="auto"/>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bookmarkStart w:id="2" w:name="Table_5"/>
          </w:p>
        </w:tc>
        <w:tc>
          <w:tcPr>
            <w:tcW w:w="1169" w:type="dxa"/>
            <w:tcBorders>
              <w:bottom w:val="single" w:sz="12" w:space="0" w:color="FFFFFF"/>
            </w:tcBorders>
            <w:shd w:val="clear" w:color="auto" w:fill="106CB5"/>
            <w:noWrap/>
            <w:vAlign w:val="center"/>
            <w:hideMark/>
          </w:tcPr>
          <w:p w:rsidR="00ED2B37" w:rsidRDefault="004632C5">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color w:val="FFFFFF"/>
                <w:szCs w:val="22"/>
              </w:rPr>
              <w:t>School</w:t>
            </w:r>
          </w:p>
        </w:tc>
        <w:tc>
          <w:tcPr>
            <w:tcW w:w="1170" w:type="dxa"/>
            <w:tcBorders>
              <w:bottom w:val="single" w:sz="12" w:space="0" w:color="FFFFFF"/>
            </w:tcBorders>
            <w:shd w:val="clear" w:color="auto" w:fill="106CB5"/>
            <w:noWrap/>
            <w:vAlign w:val="center"/>
            <w:hideMark/>
          </w:tcPr>
          <w:p w:rsidR="00ED2B37" w:rsidRDefault="004632C5">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color w:val="FFFFFF"/>
                <w:szCs w:val="22"/>
              </w:rPr>
              <w:t>State Median</w:t>
            </w:r>
          </w:p>
        </w:tc>
        <w:tc>
          <w:tcPr>
            <w:tcW w:w="1169" w:type="dxa"/>
            <w:tcBorders>
              <w:bottom w:val="single" w:sz="12" w:space="0" w:color="FFFFFF"/>
            </w:tcBorders>
            <w:shd w:val="clear" w:color="auto" w:fill="106CB5"/>
            <w:noWrap/>
            <w:vAlign w:val="center"/>
            <w:hideMark/>
          </w:tcPr>
          <w:p w:rsidR="00ED2B37" w:rsidRDefault="004632C5">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Middle 60 percent low</w:t>
            </w:r>
          </w:p>
        </w:tc>
        <w:tc>
          <w:tcPr>
            <w:tcW w:w="1170" w:type="dxa"/>
            <w:tcBorders>
              <w:bottom w:val="single" w:sz="12" w:space="0" w:color="FFFFFF"/>
            </w:tcBorders>
            <w:shd w:val="clear" w:color="auto" w:fill="106CB5"/>
            <w:noWrap/>
            <w:vAlign w:val="center"/>
            <w:hideMark/>
          </w:tcPr>
          <w:p w:rsidR="00ED2B37" w:rsidRDefault="004632C5">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Middle 60 percent high</w:t>
            </w:r>
          </w:p>
        </w:tc>
        <w:tc>
          <w:tcPr>
            <w:tcW w:w="1341" w:type="dxa"/>
            <w:tcBorders>
              <w:bottom w:val="single" w:sz="12" w:space="0" w:color="FFFFFF"/>
            </w:tcBorders>
            <w:shd w:val="clear" w:color="auto" w:fill="106CB5"/>
            <w:noWrap/>
            <w:vAlign w:val="center"/>
            <w:hideMark/>
          </w:tcPr>
          <w:p w:rsidR="00ED2B37" w:rsidRDefault="004632C5">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Similar School Comparison</w:t>
            </w:r>
          </w:p>
        </w:tc>
      </w:tr>
      <w:tr w:rsidR="004161F2" w:rsidTr="004161F2">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2058" w:type="dxa"/>
            <w:tcBorders>
              <w:top w:val="single" w:sz="12" w:space="0" w:color="FFFFFF"/>
              <w:bottom w:val="single" w:sz="4" w:space="0" w:color="106CB5"/>
            </w:tcBorders>
            <w:shd w:val="clear" w:color="auto" w:fill="FFFFFF"/>
          </w:tcPr>
          <w:p w:rsidR="00ED2B37" w:rsidRDefault="004632C5">
            <w:pPr>
              <w:spacing w:before="40" w:after="40" w:line="240" w:lineRule="auto"/>
              <w:rPr>
                <w:rFonts w:cs="Times New Roman"/>
                <w:szCs w:val="22"/>
              </w:rPr>
            </w:pPr>
            <w:r>
              <w:rPr>
                <w:rFonts w:cs="Times New Roman"/>
                <w:szCs w:val="22"/>
              </w:rPr>
              <w:t>Year Level</w:t>
            </w:r>
          </w:p>
        </w:tc>
        <w:tc>
          <w:tcPr>
            <w:tcW w:w="2551" w:type="dxa"/>
            <w:tcBorders>
              <w:top w:val="single" w:sz="12" w:space="0" w:color="FFFFFF"/>
              <w:bottom w:val="single" w:sz="4" w:space="0" w:color="106CB5"/>
            </w:tcBorders>
            <w:shd w:val="clear" w:color="auto" w:fill="FFFFFF"/>
            <w:noWrap/>
            <w:vAlign w:val="center"/>
          </w:tcPr>
          <w:p w:rsidR="00ED2B37" w:rsidRDefault="004632C5">
            <w:pPr>
              <w:spacing w:before="40" w:after="40" w:line="240" w:lineRule="auto"/>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Domain - measure</w:t>
            </w:r>
          </w:p>
        </w:tc>
        <w:tc>
          <w:tcPr>
            <w:tcW w:w="1169" w:type="dxa"/>
            <w:tcBorders>
              <w:top w:val="single" w:sz="12" w:space="0" w:color="FFFFFF"/>
              <w:bottom w:val="single" w:sz="4" w:space="0" w:color="106CB5"/>
            </w:tcBorders>
            <w:shd w:val="clear" w:color="auto" w:fill="FFFFFF"/>
            <w:noWrap/>
            <w:vAlign w:val="center"/>
          </w:tcPr>
          <w:p w:rsidR="00ED2B37" w:rsidRDefault="004632C5">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1170" w:type="dxa"/>
            <w:tcBorders>
              <w:top w:val="single" w:sz="12" w:space="0" w:color="FFFFFF"/>
              <w:bottom w:val="single" w:sz="4" w:space="0" w:color="106CB5"/>
            </w:tcBorders>
            <w:shd w:val="clear" w:color="auto" w:fill="FFFFFF"/>
            <w:noWrap/>
            <w:vAlign w:val="center"/>
          </w:tcPr>
          <w:p w:rsidR="00ED2B37" w:rsidRDefault="004632C5">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1169" w:type="dxa"/>
            <w:tcBorders>
              <w:top w:val="single" w:sz="12" w:space="0" w:color="FFFFFF"/>
              <w:bottom w:val="single" w:sz="4" w:space="0" w:color="106CB5"/>
            </w:tcBorders>
            <w:shd w:val="clear" w:color="auto" w:fill="FFFFFF"/>
            <w:noWrap/>
            <w:vAlign w:val="center"/>
          </w:tcPr>
          <w:p w:rsidR="00ED2B37" w:rsidRDefault="004632C5">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1170" w:type="dxa"/>
            <w:tcBorders>
              <w:top w:val="single" w:sz="12" w:space="0" w:color="FFFFFF"/>
              <w:bottom w:val="single" w:sz="4" w:space="0" w:color="106CB5"/>
            </w:tcBorders>
            <w:shd w:val="clear" w:color="auto" w:fill="FFFFFF"/>
            <w:noWrap/>
            <w:vAlign w:val="center"/>
          </w:tcPr>
          <w:p w:rsidR="00ED2B37" w:rsidRDefault="004632C5">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1341" w:type="dxa"/>
            <w:tcBorders>
              <w:top w:val="single" w:sz="12" w:space="0" w:color="FFFFFF"/>
              <w:bottom w:val="single" w:sz="4" w:space="0" w:color="106CB5"/>
            </w:tcBorders>
            <w:shd w:val="clear" w:color="auto" w:fill="FFFFFF"/>
            <w:noWrap/>
            <w:vAlign w:val="center"/>
          </w:tcPr>
          <w:p w:rsidR="00ED2B37" w:rsidRDefault="004632C5">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p>
        </w:tc>
      </w:tr>
      <w:tr w:rsidR="004161F2" w:rsidTr="004161F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58" w:type="dxa"/>
            <w:tcBorders>
              <w:top w:val="single" w:sz="4" w:space="0" w:color="106CB5"/>
              <w:bottom w:val="nil"/>
              <w:right w:val="single" w:sz="4" w:space="0" w:color="FFFFFF" w:themeColor="background1"/>
            </w:tcBorders>
            <w:shd w:val="clear" w:color="auto" w:fill="D9D9D9"/>
          </w:tcPr>
          <w:p w:rsidR="00ED2B37" w:rsidRDefault="004632C5">
            <w:pPr>
              <w:spacing w:before="40" w:after="40" w:line="240" w:lineRule="auto"/>
              <w:rPr>
                <w:rFonts w:cs="Times New Roman"/>
                <w:szCs w:val="22"/>
              </w:rPr>
            </w:pPr>
            <w:r>
              <w:rPr>
                <w:rFonts w:cs="Times New Roman"/>
                <w:b w:val="0"/>
                <w:szCs w:val="22"/>
              </w:rPr>
              <w:t>Year 3</w:t>
            </w:r>
          </w:p>
        </w:tc>
        <w:tc>
          <w:tcPr>
            <w:tcW w:w="2551" w:type="dxa"/>
            <w:tcBorders>
              <w:top w:val="single" w:sz="4" w:space="0" w:color="106CB5"/>
              <w:left w:val="single" w:sz="4" w:space="0" w:color="FFFFFF" w:themeColor="background1"/>
              <w:bottom w:val="nil"/>
              <w:right w:val="single" w:sz="4" w:space="0" w:color="FFFFFF" w:themeColor="background1"/>
            </w:tcBorders>
            <w:shd w:val="clear" w:color="auto" w:fill="D9D9D9"/>
            <w:noWrap/>
            <w:vAlign w:val="center"/>
          </w:tcPr>
          <w:p w:rsidR="00ED2B37" w:rsidRDefault="004632C5">
            <w:pPr>
              <w:spacing w:before="40" w:after="40" w:line="240" w:lineRule="auto"/>
              <w:cnfStyle w:val="000000100000" w:firstRow="0" w:lastRow="0" w:firstColumn="0" w:lastColumn="0" w:oddVBand="0" w:evenVBand="0" w:oddHBand="1" w:evenHBand="0" w:firstRowFirstColumn="0" w:firstRowLastColumn="0" w:lastRowFirstColumn="0" w:lastRowLastColumn="0"/>
              <w:rPr>
                <w:rFonts w:cs="Times New Roman"/>
                <w:szCs w:val="22"/>
              </w:rPr>
            </w:pPr>
            <w:r>
              <w:rPr>
                <w:rFonts w:cs="Times New Roman"/>
                <w:szCs w:val="22"/>
              </w:rPr>
              <w:t>Reading (latest year)</w:t>
            </w:r>
          </w:p>
        </w:tc>
        <w:tc>
          <w:tcPr>
            <w:tcW w:w="1169" w:type="dxa"/>
            <w:tcBorders>
              <w:top w:val="single" w:sz="4" w:space="0" w:color="106CB5"/>
              <w:left w:val="single" w:sz="4" w:space="0" w:color="FFFFFF" w:themeColor="background1"/>
              <w:bottom w:val="nil"/>
              <w:right w:val="single" w:sz="4" w:space="0" w:color="FFFFFF" w:themeColor="background1"/>
            </w:tcBorders>
            <w:shd w:val="clear" w:color="auto" w:fill="D9D9D9"/>
            <w:noWrap/>
            <w:vAlign w:val="center"/>
          </w:tcPr>
          <w:p w:rsidR="00ED2B37" w:rsidRDefault="004632C5">
            <w:pPr>
              <w:jc w:val="right"/>
              <w:cnfStyle w:val="000000100000" w:firstRow="0" w:lastRow="0" w:firstColumn="0" w:lastColumn="0" w:oddVBand="0" w:evenVBand="0" w:oddHBand="1" w:evenHBand="0" w:firstRowFirstColumn="0" w:firstRowLastColumn="0" w:lastRowFirstColumn="0" w:lastRowLastColumn="0"/>
            </w:pPr>
            <w:r>
              <w:t xml:space="preserve">  83.3</w:t>
            </w:r>
          </w:p>
        </w:tc>
        <w:tc>
          <w:tcPr>
            <w:tcW w:w="1170" w:type="dxa"/>
            <w:tcBorders>
              <w:top w:val="single" w:sz="4" w:space="0" w:color="106CB5"/>
              <w:left w:val="single" w:sz="4" w:space="0" w:color="FFFFFF" w:themeColor="background1"/>
              <w:bottom w:val="nil"/>
              <w:right w:val="single" w:sz="4" w:space="0" w:color="FFFFFF" w:themeColor="background1"/>
            </w:tcBorders>
            <w:shd w:val="clear" w:color="auto" w:fill="D9D9D9"/>
            <w:noWrap/>
            <w:vAlign w:val="center"/>
          </w:tcPr>
          <w:p w:rsidR="00ED2B37" w:rsidRDefault="004632C5">
            <w:pPr>
              <w:jc w:val="right"/>
              <w:cnfStyle w:val="000000100000" w:firstRow="0" w:lastRow="0" w:firstColumn="0" w:lastColumn="0" w:oddVBand="0" w:evenVBand="0" w:oddHBand="1" w:evenHBand="0" w:firstRowFirstColumn="0" w:firstRowLastColumn="0" w:lastRowFirstColumn="0" w:lastRowLastColumn="0"/>
            </w:pPr>
            <w:r>
              <w:t>76.5</w:t>
            </w:r>
          </w:p>
        </w:tc>
        <w:tc>
          <w:tcPr>
            <w:tcW w:w="1169" w:type="dxa"/>
            <w:tcBorders>
              <w:top w:val="single" w:sz="4" w:space="0" w:color="106CB5"/>
              <w:left w:val="single" w:sz="4" w:space="0" w:color="FFFFFF" w:themeColor="background1"/>
              <w:bottom w:val="nil"/>
              <w:right w:val="single" w:sz="4" w:space="0" w:color="FFFFFF" w:themeColor="background1"/>
            </w:tcBorders>
            <w:shd w:val="clear" w:color="auto" w:fill="D9D9D9"/>
            <w:noWrap/>
            <w:vAlign w:val="center"/>
          </w:tcPr>
          <w:p w:rsidR="00ED2B37" w:rsidRDefault="004632C5">
            <w:pPr>
              <w:jc w:val="right"/>
              <w:cnfStyle w:val="000000100000" w:firstRow="0" w:lastRow="0" w:firstColumn="0" w:lastColumn="0" w:oddVBand="0" w:evenVBand="0" w:oddHBand="1" w:evenHBand="0" w:firstRowFirstColumn="0" w:firstRowLastColumn="0" w:lastRowFirstColumn="0" w:lastRowLastColumn="0"/>
            </w:pPr>
            <w:r>
              <w:t>60.0</w:t>
            </w:r>
          </w:p>
        </w:tc>
        <w:tc>
          <w:tcPr>
            <w:tcW w:w="1170" w:type="dxa"/>
            <w:tcBorders>
              <w:top w:val="single" w:sz="4" w:space="0" w:color="106CB5"/>
              <w:left w:val="single" w:sz="4" w:space="0" w:color="FFFFFF" w:themeColor="background1"/>
              <w:bottom w:val="nil"/>
              <w:right w:val="single" w:sz="4" w:space="0" w:color="FFFFFF" w:themeColor="background1"/>
            </w:tcBorders>
            <w:shd w:val="clear" w:color="auto" w:fill="D9D9D9"/>
            <w:noWrap/>
            <w:vAlign w:val="center"/>
          </w:tcPr>
          <w:p w:rsidR="00ED2B37" w:rsidRDefault="004632C5">
            <w:pPr>
              <w:jc w:val="right"/>
              <w:cnfStyle w:val="000000100000" w:firstRow="0" w:lastRow="0" w:firstColumn="0" w:lastColumn="0" w:oddVBand="0" w:evenVBand="0" w:oddHBand="1" w:evenHBand="0" w:firstRowFirstColumn="0" w:firstRowLastColumn="0" w:lastRowFirstColumn="0" w:lastRowLastColumn="0"/>
            </w:pPr>
            <w:r>
              <w:t>90.0</w:t>
            </w:r>
          </w:p>
        </w:tc>
        <w:tc>
          <w:tcPr>
            <w:tcW w:w="1341" w:type="dxa"/>
            <w:tcBorders>
              <w:top w:val="single" w:sz="4" w:space="0" w:color="106CB5"/>
              <w:left w:val="single" w:sz="4" w:space="0" w:color="FFFFFF" w:themeColor="background1"/>
              <w:bottom w:val="nil"/>
            </w:tcBorders>
            <w:shd w:val="clear" w:color="auto" w:fill="D9D9D9"/>
            <w:noWrap/>
            <w:vAlign w:val="center"/>
          </w:tcPr>
          <w:p w:rsidR="00ED2B37" w:rsidRDefault="004632C5">
            <w:pPr>
              <w:jc w:val="right"/>
              <w:cnfStyle w:val="000000100000" w:firstRow="0" w:lastRow="0" w:firstColumn="0" w:lastColumn="0" w:oddVBand="0" w:evenVBand="0" w:oddHBand="1" w:evenHBand="0" w:firstRowFirstColumn="0" w:firstRowLastColumn="0" w:lastRowFirstColumn="0" w:lastRowLastColumn="0"/>
            </w:pPr>
            <w:r>
              <w:t>Above</w:t>
            </w:r>
          </w:p>
        </w:tc>
      </w:tr>
      <w:tr w:rsidR="004161F2" w:rsidTr="004161F2">
        <w:trPr>
          <w:jc w:val="center"/>
        </w:trPr>
        <w:tc>
          <w:tcPr>
            <w:cnfStyle w:val="001000000000" w:firstRow="0" w:lastRow="0" w:firstColumn="1" w:lastColumn="0" w:oddVBand="0" w:evenVBand="0" w:oddHBand="0" w:evenHBand="0" w:firstRowFirstColumn="0" w:firstRowLastColumn="0" w:lastRowFirstColumn="0" w:lastRowLastColumn="0"/>
            <w:tcW w:w="2058" w:type="dxa"/>
            <w:tcBorders>
              <w:top w:val="nil"/>
              <w:bottom w:val="single" w:sz="2" w:space="0" w:color="106CB5"/>
              <w:right w:val="single" w:sz="2" w:space="0" w:color="FFFFFF"/>
            </w:tcBorders>
            <w:shd w:val="clear" w:color="auto" w:fill="auto"/>
          </w:tcPr>
          <w:p w:rsidR="00ED2B37" w:rsidRDefault="004632C5">
            <w:pPr>
              <w:spacing w:before="40" w:after="40" w:line="240" w:lineRule="auto"/>
              <w:rPr>
                <w:rFonts w:cs="Times New Roman"/>
                <w:szCs w:val="22"/>
              </w:rPr>
            </w:pPr>
            <w:r>
              <w:rPr>
                <w:rFonts w:cs="Times New Roman"/>
                <w:b w:val="0"/>
                <w:szCs w:val="22"/>
              </w:rPr>
              <w:t>Year 3</w:t>
            </w:r>
          </w:p>
        </w:tc>
        <w:tc>
          <w:tcPr>
            <w:tcW w:w="2551" w:type="dxa"/>
            <w:tcBorders>
              <w:top w:val="nil"/>
              <w:left w:val="single" w:sz="2" w:space="0" w:color="FFFFFF"/>
              <w:bottom w:val="single" w:sz="2" w:space="0" w:color="106CB5"/>
              <w:right w:val="single" w:sz="2" w:space="0" w:color="FFFFFF"/>
            </w:tcBorders>
            <w:shd w:val="clear" w:color="auto" w:fill="auto"/>
            <w:noWrap/>
            <w:vAlign w:val="center"/>
          </w:tcPr>
          <w:p w:rsidR="00ED2B37" w:rsidRDefault="004632C5">
            <w:pPr>
              <w:spacing w:before="40" w:after="40" w:line="240" w:lineRule="auto"/>
              <w:cnfStyle w:val="000000000000" w:firstRow="0" w:lastRow="0" w:firstColumn="0" w:lastColumn="0" w:oddVBand="0" w:evenVBand="0" w:oddHBand="0" w:evenHBand="0" w:firstRowFirstColumn="0" w:firstRowLastColumn="0" w:lastRowFirstColumn="0" w:lastRowLastColumn="0"/>
              <w:rPr>
                <w:rFonts w:cs="Times New Roman"/>
                <w:szCs w:val="22"/>
              </w:rPr>
            </w:pPr>
            <w:r>
              <w:rPr>
                <w:rFonts w:cs="Times New Roman"/>
                <w:szCs w:val="22"/>
              </w:rPr>
              <w:t>Numeracy (latest year)</w:t>
            </w:r>
          </w:p>
        </w:tc>
        <w:tc>
          <w:tcPr>
            <w:tcW w:w="1169" w:type="dxa"/>
            <w:tcBorders>
              <w:top w:val="nil"/>
              <w:left w:val="single" w:sz="2" w:space="0" w:color="FFFFFF"/>
              <w:bottom w:val="single" w:sz="2" w:space="0" w:color="106CB5"/>
              <w:right w:val="single" w:sz="2" w:space="0" w:color="FFFFFF"/>
            </w:tcBorders>
            <w:shd w:val="clear" w:color="auto" w:fill="auto"/>
            <w:noWrap/>
            <w:vAlign w:val="center"/>
          </w:tcPr>
          <w:p w:rsidR="00ED2B37" w:rsidRDefault="004632C5">
            <w:pPr>
              <w:jc w:val="right"/>
              <w:cnfStyle w:val="000000000000" w:firstRow="0" w:lastRow="0" w:firstColumn="0" w:lastColumn="0" w:oddVBand="0" w:evenVBand="0" w:oddHBand="0" w:evenHBand="0" w:firstRowFirstColumn="0" w:firstRowLastColumn="0" w:lastRowFirstColumn="0" w:lastRowLastColumn="0"/>
            </w:pPr>
            <w:r>
              <w:t xml:space="preserve">  76.5</w:t>
            </w:r>
          </w:p>
        </w:tc>
        <w:tc>
          <w:tcPr>
            <w:tcW w:w="1170" w:type="dxa"/>
            <w:tcBorders>
              <w:top w:val="nil"/>
              <w:left w:val="single" w:sz="2" w:space="0" w:color="FFFFFF"/>
              <w:bottom w:val="single" w:sz="2" w:space="0" w:color="106CB5"/>
              <w:right w:val="single" w:sz="2" w:space="0" w:color="FFFFFF"/>
            </w:tcBorders>
            <w:shd w:val="clear" w:color="auto" w:fill="auto"/>
            <w:noWrap/>
            <w:vAlign w:val="center"/>
          </w:tcPr>
          <w:p w:rsidR="00ED2B37" w:rsidRDefault="004632C5">
            <w:pPr>
              <w:jc w:val="right"/>
              <w:cnfStyle w:val="000000000000" w:firstRow="0" w:lastRow="0" w:firstColumn="0" w:lastColumn="0" w:oddVBand="0" w:evenVBand="0" w:oddHBand="0" w:evenHBand="0" w:firstRowFirstColumn="0" w:firstRowLastColumn="0" w:lastRowFirstColumn="0" w:lastRowLastColumn="0"/>
            </w:pPr>
            <w:r>
              <w:t>67.7</w:t>
            </w:r>
          </w:p>
        </w:tc>
        <w:tc>
          <w:tcPr>
            <w:tcW w:w="1169" w:type="dxa"/>
            <w:tcBorders>
              <w:top w:val="nil"/>
              <w:left w:val="single" w:sz="2" w:space="0" w:color="FFFFFF"/>
              <w:bottom w:val="single" w:sz="2" w:space="0" w:color="106CB5"/>
              <w:right w:val="single" w:sz="2" w:space="0" w:color="FFFFFF"/>
            </w:tcBorders>
            <w:shd w:val="clear" w:color="auto" w:fill="auto"/>
            <w:noWrap/>
            <w:vAlign w:val="center"/>
          </w:tcPr>
          <w:p w:rsidR="00ED2B37" w:rsidRDefault="004632C5">
            <w:pPr>
              <w:jc w:val="right"/>
              <w:cnfStyle w:val="000000000000" w:firstRow="0" w:lastRow="0" w:firstColumn="0" w:lastColumn="0" w:oddVBand="0" w:evenVBand="0" w:oddHBand="0" w:evenHBand="0" w:firstRowFirstColumn="0" w:firstRowLastColumn="0" w:lastRowFirstColumn="0" w:lastRowLastColumn="0"/>
            </w:pPr>
            <w:r>
              <w:t>50.0</w:t>
            </w:r>
          </w:p>
        </w:tc>
        <w:tc>
          <w:tcPr>
            <w:tcW w:w="1170" w:type="dxa"/>
            <w:tcBorders>
              <w:top w:val="nil"/>
              <w:left w:val="single" w:sz="2" w:space="0" w:color="FFFFFF"/>
              <w:bottom w:val="single" w:sz="2" w:space="0" w:color="106CB5"/>
              <w:right w:val="single" w:sz="2" w:space="0" w:color="FFFFFF"/>
            </w:tcBorders>
            <w:shd w:val="clear" w:color="auto" w:fill="auto"/>
            <w:noWrap/>
            <w:vAlign w:val="center"/>
          </w:tcPr>
          <w:p w:rsidR="00ED2B37" w:rsidRDefault="004632C5">
            <w:pPr>
              <w:jc w:val="right"/>
              <w:cnfStyle w:val="000000000000" w:firstRow="0" w:lastRow="0" w:firstColumn="0" w:lastColumn="0" w:oddVBand="0" w:evenVBand="0" w:oddHBand="0" w:evenHBand="0" w:firstRowFirstColumn="0" w:firstRowLastColumn="0" w:lastRowFirstColumn="0" w:lastRowLastColumn="0"/>
            </w:pPr>
            <w:r>
              <w:t>84.6</w:t>
            </w:r>
          </w:p>
        </w:tc>
        <w:tc>
          <w:tcPr>
            <w:tcW w:w="1341" w:type="dxa"/>
            <w:tcBorders>
              <w:top w:val="nil"/>
              <w:left w:val="single" w:sz="2" w:space="0" w:color="FFFFFF"/>
              <w:bottom w:val="single" w:sz="2" w:space="0" w:color="106CB5"/>
            </w:tcBorders>
            <w:shd w:val="clear" w:color="auto" w:fill="auto"/>
            <w:noWrap/>
            <w:vAlign w:val="center"/>
          </w:tcPr>
          <w:p w:rsidR="00ED2B37" w:rsidRDefault="004632C5">
            <w:pPr>
              <w:jc w:val="right"/>
              <w:cnfStyle w:val="000000000000" w:firstRow="0" w:lastRow="0" w:firstColumn="0" w:lastColumn="0" w:oddVBand="0" w:evenVBand="0" w:oddHBand="0" w:evenHBand="0" w:firstRowFirstColumn="0" w:firstRowLastColumn="0" w:lastRowFirstColumn="0" w:lastRowLastColumn="0"/>
            </w:pPr>
            <w:r>
              <w:t>Above</w:t>
            </w:r>
          </w:p>
        </w:tc>
      </w:tr>
      <w:tr w:rsidR="004161F2" w:rsidTr="004161F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58" w:type="dxa"/>
            <w:tcBorders>
              <w:top w:val="single" w:sz="2" w:space="0" w:color="106CB5"/>
              <w:bottom w:val="nil"/>
              <w:right w:val="single" w:sz="4" w:space="0" w:color="FFFFFF" w:themeColor="background1"/>
            </w:tcBorders>
            <w:shd w:val="clear" w:color="auto" w:fill="D9D9D9"/>
          </w:tcPr>
          <w:p w:rsidR="00ED2B37" w:rsidRDefault="004632C5">
            <w:pPr>
              <w:spacing w:before="40" w:after="40" w:line="240" w:lineRule="auto"/>
              <w:rPr>
                <w:rFonts w:cs="Times New Roman"/>
                <w:szCs w:val="22"/>
              </w:rPr>
            </w:pPr>
            <w:r>
              <w:rPr>
                <w:rFonts w:cs="Times New Roman"/>
                <w:b w:val="0"/>
                <w:szCs w:val="22"/>
              </w:rPr>
              <w:t>Year 5</w:t>
            </w:r>
          </w:p>
        </w:tc>
        <w:tc>
          <w:tcPr>
            <w:tcW w:w="2551" w:type="dxa"/>
            <w:tcBorders>
              <w:top w:val="single" w:sz="2" w:space="0" w:color="106CB5"/>
              <w:left w:val="single" w:sz="4" w:space="0" w:color="FFFFFF" w:themeColor="background1"/>
              <w:bottom w:val="nil"/>
              <w:right w:val="single" w:sz="4" w:space="0" w:color="FFFFFF" w:themeColor="background1"/>
            </w:tcBorders>
            <w:shd w:val="clear" w:color="auto" w:fill="D9D9D9"/>
            <w:noWrap/>
            <w:vAlign w:val="center"/>
          </w:tcPr>
          <w:p w:rsidR="00ED2B37" w:rsidRDefault="004632C5">
            <w:pPr>
              <w:spacing w:before="40" w:after="40" w:line="240" w:lineRule="auto"/>
              <w:cnfStyle w:val="000000100000" w:firstRow="0" w:lastRow="0" w:firstColumn="0" w:lastColumn="0" w:oddVBand="0" w:evenVBand="0" w:oddHBand="1" w:evenHBand="0" w:firstRowFirstColumn="0" w:firstRowLastColumn="0" w:lastRowFirstColumn="0" w:lastRowLastColumn="0"/>
              <w:rPr>
                <w:rFonts w:cs="Times New Roman"/>
                <w:szCs w:val="22"/>
              </w:rPr>
            </w:pPr>
            <w:r>
              <w:rPr>
                <w:rFonts w:cs="Times New Roman"/>
                <w:szCs w:val="22"/>
              </w:rPr>
              <w:t>Reading (latest year)</w:t>
            </w:r>
          </w:p>
        </w:tc>
        <w:tc>
          <w:tcPr>
            <w:tcW w:w="1169" w:type="dxa"/>
            <w:tcBorders>
              <w:top w:val="single" w:sz="2" w:space="0" w:color="106CB5"/>
              <w:left w:val="single" w:sz="4" w:space="0" w:color="FFFFFF" w:themeColor="background1"/>
              <w:bottom w:val="nil"/>
              <w:right w:val="single" w:sz="4" w:space="0" w:color="FFFFFF" w:themeColor="background1"/>
            </w:tcBorders>
            <w:shd w:val="clear" w:color="auto" w:fill="D9D9D9"/>
            <w:noWrap/>
            <w:vAlign w:val="center"/>
          </w:tcPr>
          <w:p w:rsidR="00ED2B37" w:rsidRDefault="004632C5">
            <w:pPr>
              <w:jc w:val="right"/>
              <w:cnfStyle w:val="000000100000" w:firstRow="0" w:lastRow="0" w:firstColumn="0" w:lastColumn="0" w:oddVBand="0" w:evenVBand="0" w:oddHBand="1" w:evenHBand="0" w:firstRowFirstColumn="0" w:firstRowLastColumn="0" w:lastRowFirstColumn="0" w:lastRowLastColumn="0"/>
            </w:pPr>
            <w:r>
              <w:t xml:space="preserve">  65.0</w:t>
            </w:r>
          </w:p>
        </w:tc>
        <w:tc>
          <w:tcPr>
            <w:tcW w:w="1170" w:type="dxa"/>
            <w:tcBorders>
              <w:top w:val="single" w:sz="2" w:space="0" w:color="106CB5"/>
              <w:left w:val="single" w:sz="4" w:space="0" w:color="FFFFFF" w:themeColor="background1"/>
              <w:bottom w:val="nil"/>
              <w:right w:val="single" w:sz="4" w:space="0" w:color="FFFFFF" w:themeColor="background1"/>
            </w:tcBorders>
            <w:shd w:val="clear" w:color="auto" w:fill="D9D9D9"/>
            <w:noWrap/>
            <w:vAlign w:val="center"/>
          </w:tcPr>
          <w:p w:rsidR="00ED2B37" w:rsidRDefault="004632C5">
            <w:pPr>
              <w:jc w:val="right"/>
              <w:cnfStyle w:val="000000100000" w:firstRow="0" w:lastRow="0" w:firstColumn="0" w:lastColumn="0" w:oddVBand="0" w:evenVBand="0" w:oddHBand="1" w:evenHBand="0" w:firstRowFirstColumn="0" w:firstRowLastColumn="0" w:lastRowFirstColumn="0" w:lastRowLastColumn="0"/>
            </w:pPr>
            <w:r>
              <w:t>67.6</w:t>
            </w:r>
          </w:p>
        </w:tc>
        <w:tc>
          <w:tcPr>
            <w:tcW w:w="1169" w:type="dxa"/>
            <w:tcBorders>
              <w:top w:val="single" w:sz="2" w:space="0" w:color="106CB5"/>
              <w:left w:val="single" w:sz="4" w:space="0" w:color="FFFFFF" w:themeColor="background1"/>
              <w:bottom w:val="nil"/>
              <w:right w:val="single" w:sz="4" w:space="0" w:color="FFFFFF" w:themeColor="background1"/>
            </w:tcBorders>
            <w:shd w:val="clear" w:color="auto" w:fill="D9D9D9"/>
            <w:noWrap/>
            <w:vAlign w:val="center"/>
          </w:tcPr>
          <w:p w:rsidR="00ED2B37" w:rsidRDefault="004632C5">
            <w:pPr>
              <w:jc w:val="right"/>
              <w:cnfStyle w:val="000000100000" w:firstRow="0" w:lastRow="0" w:firstColumn="0" w:lastColumn="0" w:oddVBand="0" w:evenVBand="0" w:oddHBand="1" w:evenHBand="0" w:firstRowFirstColumn="0" w:firstRowLastColumn="0" w:lastRowFirstColumn="0" w:lastRowLastColumn="0"/>
            </w:pPr>
            <w:r>
              <w:t>50.0</w:t>
            </w:r>
          </w:p>
        </w:tc>
        <w:tc>
          <w:tcPr>
            <w:tcW w:w="1170" w:type="dxa"/>
            <w:tcBorders>
              <w:top w:val="single" w:sz="2" w:space="0" w:color="106CB5"/>
              <w:left w:val="single" w:sz="4" w:space="0" w:color="FFFFFF" w:themeColor="background1"/>
              <w:bottom w:val="nil"/>
              <w:right w:val="single" w:sz="4" w:space="0" w:color="FFFFFF" w:themeColor="background1"/>
            </w:tcBorders>
            <w:shd w:val="clear" w:color="auto" w:fill="D9D9D9"/>
            <w:noWrap/>
            <w:vAlign w:val="center"/>
          </w:tcPr>
          <w:p w:rsidR="00ED2B37" w:rsidRDefault="004632C5">
            <w:pPr>
              <w:jc w:val="right"/>
              <w:cnfStyle w:val="000000100000" w:firstRow="0" w:lastRow="0" w:firstColumn="0" w:lastColumn="0" w:oddVBand="0" w:evenVBand="0" w:oddHBand="1" w:evenHBand="0" w:firstRowFirstColumn="0" w:firstRowLastColumn="0" w:lastRowFirstColumn="0" w:lastRowLastColumn="0"/>
            </w:pPr>
            <w:r>
              <w:t>83.1</w:t>
            </w:r>
          </w:p>
        </w:tc>
        <w:tc>
          <w:tcPr>
            <w:tcW w:w="1341" w:type="dxa"/>
            <w:tcBorders>
              <w:top w:val="single" w:sz="2" w:space="0" w:color="106CB5"/>
              <w:left w:val="single" w:sz="4" w:space="0" w:color="FFFFFF" w:themeColor="background1"/>
              <w:bottom w:val="nil"/>
            </w:tcBorders>
            <w:shd w:val="clear" w:color="auto" w:fill="D9D9D9"/>
            <w:noWrap/>
            <w:vAlign w:val="center"/>
          </w:tcPr>
          <w:p w:rsidR="00ED2B37" w:rsidRDefault="004632C5">
            <w:pPr>
              <w:jc w:val="right"/>
              <w:cnfStyle w:val="000000100000" w:firstRow="0" w:lastRow="0" w:firstColumn="0" w:lastColumn="0" w:oddVBand="0" w:evenVBand="0" w:oddHBand="1" w:evenHBand="0" w:firstRowFirstColumn="0" w:firstRowLastColumn="0" w:lastRowFirstColumn="0" w:lastRowLastColumn="0"/>
            </w:pPr>
            <w:r>
              <w:t>Below</w:t>
            </w:r>
          </w:p>
        </w:tc>
      </w:tr>
      <w:tr w:rsidR="004161F2" w:rsidTr="004161F2">
        <w:trPr>
          <w:jc w:val="center"/>
        </w:trPr>
        <w:tc>
          <w:tcPr>
            <w:cnfStyle w:val="001000000000" w:firstRow="0" w:lastRow="0" w:firstColumn="1" w:lastColumn="0" w:oddVBand="0" w:evenVBand="0" w:oddHBand="0" w:evenHBand="0" w:firstRowFirstColumn="0" w:firstRowLastColumn="0" w:lastRowFirstColumn="0" w:lastRowLastColumn="0"/>
            <w:tcW w:w="2058" w:type="dxa"/>
            <w:tcBorders>
              <w:top w:val="nil"/>
              <w:bottom w:val="single" w:sz="2" w:space="0" w:color="126CB5"/>
              <w:right w:val="single" w:sz="4" w:space="0" w:color="FFFFFF" w:themeColor="background1"/>
            </w:tcBorders>
            <w:shd w:val="clear" w:color="auto" w:fill="auto"/>
          </w:tcPr>
          <w:p w:rsidR="00ED2B37" w:rsidRDefault="004632C5">
            <w:pPr>
              <w:spacing w:before="40" w:after="40" w:line="240" w:lineRule="auto"/>
              <w:rPr>
                <w:rFonts w:cs="Times New Roman"/>
                <w:szCs w:val="22"/>
              </w:rPr>
            </w:pPr>
            <w:r>
              <w:rPr>
                <w:rFonts w:cs="Times New Roman"/>
                <w:b w:val="0"/>
                <w:szCs w:val="22"/>
              </w:rPr>
              <w:t>Year 5</w:t>
            </w:r>
          </w:p>
        </w:tc>
        <w:tc>
          <w:tcPr>
            <w:tcW w:w="2551" w:type="dxa"/>
            <w:tcBorders>
              <w:top w:val="nil"/>
              <w:left w:val="single" w:sz="4" w:space="0" w:color="FFFFFF" w:themeColor="background1"/>
              <w:bottom w:val="single" w:sz="2" w:space="0" w:color="126CB5"/>
              <w:right w:val="single" w:sz="4" w:space="0" w:color="FFFFFF" w:themeColor="background1"/>
            </w:tcBorders>
            <w:shd w:val="clear" w:color="auto" w:fill="auto"/>
            <w:noWrap/>
            <w:vAlign w:val="center"/>
          </w:tcPr>
          <w:p w:rsidR="00ED2B37" w:rsidRDefault="004632C5">
            <w:pPr>
              <w:spacing w:before="40" w:after="40" w:line="240" w:lineRule="auto"/>
              <w:cnfStyle w:val="000000000000" w:firstRow="0" w:lastRow="0" w:firstColumn="0" w:lastColumn="0" w:oddVBand="0" w:evenVBand="0" w:oddHBand="0" w:evenHBand="0" w:firstRowFirstColumn="0" w:firstRowLastColumn="0" w:lastRowFirstColumn="0" w:lastRowLastColumn="0"/>
              <w:rPr>
                <w:rFonts w:cs="Times New Roman"/>
                <w:szCs w:val="22"/>
              </w:rPr>
            </w:pPr>
            <w:r>
              <w:rPr>
                <w:rFonts w:cs="Times New Roman"/>
                <w:szCs w:val="22"/>
              </w:rPr>
              <w:t>Numeracy (latest year)</w:t>
            </w:r>
          </w:p>
        </w:tc>
        <w:tc>
          <w:tcPr>
            <w:tcW w:w="1169" w:type="dxa"/>
            <w:tcBorders>
              <w:top w:val="nil"/>
              <w:left w:val="single" w:sz="4" w:space="0" w:color="FFFFFF" w:themeColor="background1"/>
              <w:bottom w:val="single" w:sz="2" w:space="0" w:color="126CB5"/>
              <w:right w:val="single" w:sz="4" w:space="0" w:color="FFFFFF" w:themeColor="background1"/>
            </w:tcBorders>
            <w:shd w:val="clear" w:color="auto" w:fill="auto"/>
            <w:noWrap/>
            <w:vAlign w:val="center"/>
          </w:tcPr>
          <w:p w:rsidR="00ED2B37" w:rsidRDefault="004632C5">
            <w:pPr>
              <w:jc w:val="right"/>
              <w:cnfStyle w:val="000000000000" w:firstRow="0" w:lastRow="0" w:firstColumn="0" w:lastColumn="0" w:oddVBand="0" w:evenVBand="0" w:oddHBand="0" w:evenHBand="0" w:firstRowFirstColumn="0" w:firstRowLastColumn="0" w:lastRowFirstColumn="0" w:lastRowLastColumn="0"/>
            </w:pPr>
            <w:r>
              <w:t xml:space="preserve">  66.7</w:t>
            </w:r>
          </w:p>
        </w:tc>
        <w:tc>
          <w:tcPr>
            <w:tcW w:w="1170" w:type="dxa"/>
            <w:tcBorders>
              <w:top w:val="nil"/>
              <w:left w:val="single" w:sz="4" w:space="0" w:color="FFFFFF" w:themeColor="background1"/>
              <w:bottom w:val="single" w:sz="2" w:space="0" w:color="126CB5"/>
              <w:right w:val="single" w:sz="4" w:space="0" w:color="FFFFFF" w:themeColor="background1"/>
            </w:tcBorders>
            <w:shd w:val="clear" w:color="auto" w:fill="auto"/>
            <w:noWrap/>
            <w:vAlign w:val="center"/>
          </w:tcPr>
          <w:p w:rsidR="00ED2B37" w:rsidRDefault="004632C5">
            <w:pPr>
              <w:jc w:val="right"/>
              <w:cnfStyle w:val="000000000000" w:firstRow="0" w:lastRow="0" w:firstColumn="0" w:lastColumn="0" w:oddVBand="0" w:evenVBand="0" w:oddHBand="0" w:evenHBand="0" w:firstRowFirstColumn="0" w:firstRowLastColumn="0" w:lastRowFirstColumn="0" w:lastRowLastColumn="0"/>
            </w:pPr>
            <w:r>
              <w:t>59.3</w:t>
            </w:r>
          </w:p>
        </w:tc>
        <w:tc>
          <w:tcPr>
            <w:tcW w:w="1169" w:type="dxa"/>
            <w:tcBorders>
              <w:top w:val="nil"/>
              <w:left w:val="single" w:sz="4" w:space="0" w:color="FFFFFF" w:themeColor="background1"/>
              <w:bottom w:val="single" w:sz="2" w:space="0" w:color="126CB5"/>
              <w:right w:val="single" w:sz="4" w:space="0" w:color="FFFFFF" w:themeColor="background1"/>
            </w:tcBorders>
            <w:shd w:val="clear" w:color="auto" w:fill="auto"/>
            <w:noWrap/>
            <w:vAlign w:val="center"/>
          </w:tcPr>
          <w:p w:rsidR="00ED2B37" w:rsidRDefault="004632C5">
            <w:pPr>
              <w:jc w:val="right"/>
              <w:cnfStyle w:val="000000000000" w:firstRow="0" w:lastRow="0" w:firstColumn="0" w:lastColumn="0" w:oddVBand="0" w:evenVBand="0" w:oddHBand="0" w:evenHBand="0" w:firstRowFirstColumn="0" w:firstRowLastColumn="0" w:lastRowFirstColumn="0" w:lastRowLastColumn="0"/>
            </w:pPr>
            <w:r>
              <w:t>41.2</w:t>
            </w:r>
          </w:p>
        </w:tc>
        <w:tc>
          <w:tcPr>
            <w:tcW w:w="1170" w:type="dxa"/>
            <w:tcBorders>
              <w:top w:val="nil"/>
              <w:left w:val="single" w:sz="4" w:space="0" w:color="FFFFFF" w:themeColor="background1"/>
              <w:bottom w:val="single" w:sz="2" w:space="0" w:color="126CB5"/>
              <w:right w:val="single" w:sz="4" w:space="0" w:color="FFFFFF" w:themeColor="background1"/>
            </w:tcBorders>
            <w:shd w:val="clear" w:color="auto" w:fill="auto"/>
            <w:noWrap/>
            <w:vAlign w:val="center"/>
          </w:tcPr>
          <w:p w:rsidR="00ED2B37" w:rsidRDefault="004632C5">
            <w:pPr>
              <w:jc w:val="right"/>
              <w:cnfStyle w:val="000000000000" w:firstRow="0" w:lastRow="0" w:firstColumn="0" w:lastColumn="0" w:oddVBand="0" w:evenVBand="0" w:oddHBand="0" w:evenHBand="0" w:firstRowFirstColumn="0" w:firstRowLastColumn="0" w:lastRowFirstColumn="0" w:lastRowLastColumn="0"/>
            </w:pPr>
            <w:r>
              <w:t>76.4</w:t>
            </w:r>
          </w:p>
        </w:tc>
        <w:tc>
          <w:tcPr>
            <w:tcW w:w="1341" w:type="dxa"/>
            <w:tcBorders>
              <w:top w:val="nil"/>
              <w:left w:val="single" w:sz="4" w:space="0" w:color="FFFFFF" w:themeColor="background1"/>
              <w:bottom w:val="single" w:sz="2" w:space="0" w:color="126CB5"/>
            </w:tcBorders>
            <w:shd w:val="clear" w:color="auto" w:fill="auto"/>
            <w:noWrap/>
            <w:vAlign w:val="center"/>
          </w:tcPr>
          <w:p w:rsidR="00ED2B37" w:rsidRDefault="004632C5">
            <w:pPr>
              <w:jc w:val="right"/>
              <w:cnfStyle w:val="000000000000" w:firstRow="0" w:lastRow="0" w:firstColumn="0" w:lastColumn="0" w:oddVBand="0" w:evenVBand="0" w:oddHBand="0" w:evenHBand="0" w:firstRowFirstColumn="0" w:firstRowLastColumn="0" w:lastRowFirstColumn="0" w:lastRowLastColumn="0"/>
            </w:pPr>
            <w:r>
              <w:t>Above</w:t>
            </w:r>
          </w:p>
        </w:tc>
      </w:tr>
      <w:bookmarkEnd w:id="2"/>
    </w:tbl>
    <w:p w:rsidR="00ED2B37" w:rsidRDefault="004632C5">
      <w:pPr>
        <w:pStyle w:val="ESBodyText"/>
      </w:pPr>
    </w:p>
    <w:tbl>
      <w:tblPr>
        <w:tblStyle w:val="GridTable2-Accent611"/>
        <w:tblW w:w="10628" w:type="dxa"/>
        <w:jc w:val="center"/>
        <w:tblLayout w:type="fixed"/>
        <w:tblLook w:val="04A0" w:firstRow="1" w:lastRow="0" w:firstColumn="1" w:lastColumn="0" w:noHBand="0" w:noVBand="1"/>
        <w:tblCaption w:val="NAPLAN 4 year Average Results - Year 3, Year 5, Year 7 and Year 9"/>
      </w:tblPr>
      <w:tblGrid>
        <w:gridCol w:w="2199"/>
        <w:gridCol w:w="2410"/>
        <w:gridCol w:w="1169"/>
        <w:gridCol w:w="1170"/>
        <w:gridCol w:w="1169"/>
        <w:gridCol w:w="1170"/>
        <w:gridCol w:w="1341"/>
      </w:tblGrid>
      <w:tr w:rsidR="004161F2" w:rsidTr="004161F2">
        <w:trPr>
          <w:cnfStyle w:val="100000000000" w:firstRow="1" w:lastRow="0" w:firstColumn="0" w:lastColumn="0" w:oddVBand="0" w:evenVBand="0" w:oddHBand="0" w:evenHBand="0" w:firstRowFirstColumn="0" w:firstRowLastColumn="0" w:lastRowFirstColumn="0" w:lastRowLastColumn="0"/>
          <w:trHeight w:val="632"/>
          <w:tblHeader/>
          <w:jc w:val="center"/>
        </w:trPr>
        <w:tc>
          <w:tcPr>
            <w:cnfStyle w:val="001000000000" w:firstRow="0" w:lastRow="0" w:firstColumn="1" w:lastColumn="0" w:oddVBand="0" w:evenVBand="0" w:oddHBand="0" w:evenHBand="0" w:firstRowFirstColumn="0" w:firstRowLastColumn="0" w:lastRowFirstColumn="0" w:lastRowLastColumn="0"/>
            <w:tcW w:w="2199" w:type="dxa"/>
            <w:tcBorders>
              <w:bottom w:val="single" w:sz="12" w:space="0" w:color="FFFFFF"/>
            </w:tcBorders>
            <w:shd w:val="clear" w:color="auto" w:fill="106CB5"/>
            <w:vAlign w:val="center"/>
          </w:tcPr>
          <w:p w:rsidR="00ED2B37" w:rsidRDefault="004632C5">
            <w:pPr>
              <w:spacing w:before="40" w:after="40" w:line="240" w:lineRule="auto"/>
              <w:rPr>
                <w:rFonts w:cs="Times New Roman"/>
                <w:color w:val="FFFFFF"/>
                <w:szCs w:val="22"/>
              </w:rPr>
            </w:pPr>
            <w:r>
              <w:rPr>
                <w:rFonts w:cs="Times New Roman"/>
                <w:bCs w:val="0"/>
                <w:color w:val="FFFFFF"/>
                <w:szCs w:val="22"/>
              </w:rPr>
              <w:t xml:space="preserve">NAPLAN top 3 bands </w:t>
            </w:r>
          </w:p>
          <w:p w:rsidR="00ED2B37" w:rsidRDefault="004632C5">
            <w:pPr>
              <w:spacing w:before="40" w:after="40" w:line="240" w:lineRule="auto"/>
              <w:rPr>
                <w:rFonts w:cs="Times New Roman"/>
                <w:color w:val="FFFFFF"/>
                <w:szCs w:val="22"/>
              </w:rPr>
            </w:pPr>
            <w:r>
              <w:rPr>
                <w:rFonts w:cs="Times New Roman"/>
                <w:bCs w:val="0"/>
                <w:color w:val="FFFFFF"/>
                <w:szCs w:val="22"/>
              </w:rPr>
              <w:t>(4 year average)</w:t>
            </w:r>
          </w:p>
        </w:tc>
        <w:tc>
          <w:tcPr>
            <w:tcW w:w="2410" w:type="dxa"/>
            <w:tcBorders>
              <w:bottom w:val="single" w:sz="12" w:space="0" w:color="FFFFFF"/>
            </w:tcBorders>
            <w:shd w:val="clear" w:color="auto" w:fill="106CB5"/>
            <w:noWrap/>
            <w:vAlign w:val="center"/>
            <w:hideMark/>
          </w:tcPr>
          <w:p w:rsidR="00ED2B37" w:rsidRDefault="004632C5">
            <w:pPr>
              <w:spacing w:before="40" w:after="40" w:line="240" w:lineRule="auto"/>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p>
        </w:tc>
        <w:tc>
          <w:tcPr>
            <w:tcW w:w="1169" w:type="dxa"/>
            <w:tcBorders>
              <w:bottom w:val="single" w:sz="12" w:space="0" w:color="FFFFFF"/>
            </w:tcBorders>
            <w:shd w:val="clear" w:color="auto" w:fill="106CB5"/>
            <w:noWrap/>
            <w:vAlign w:val="center"/>
            <w:hideMark/>
          </w:tcPr>
          <w:p w:rsidR="00ED2B37" w:rsidRDefault="004632C5">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color w:val="FFFFFF"/>
                <w:szCs w:val="22"/>
              </w:rPr>
              <w:t>School</w:t>
            </w:r>
          </w:p>
        </w:tc>
        <w:tc>
          <w:tcPr>
            <w:tcW w:w="1170" w:type="dxa"/>
            <w:tcBorders>
              <w:bottom w:val="single" w:sz="12" w:space="0" w:color="FFFFFF"/>
            </w:tcBorders>
            <w:shd w:val="clear" w:color="auto" w:fill="106CB5"/>
            <w:noWrap/>
            <w:vAlign w:val="center"/>
            <w:hideMark/>
          </w:tcPr>
          <w:p w:rsidR="00ED2B37" w:rsidRDefault="004632C5">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color w:val="FFFFFF"/>
                <w:szCs w:val="22"/>
              </w:rPr>
              <w:t>State Median</w:t>
            </w:r>
          </w:p>
        </w:tc>
        <w:tc>
          <w:tcPr>
            <w:tcW w:w="1169" w:type="dxa"/>
            <w:tcBorders>
              <w:bottom w:val="single" w:sz="12" w:space="0" w:color="FFFFFF"/>
            </w:tcBorders>
            <w:shd w:val="clear" w:color="auto" w:fill="106CB5"/>
            <w:noWrap/>
            <w:vAlign w:val="center"/>
            <w:hideMark/>
          </w:tcPr>
          <w:p w:rsidR="00ED2B37" w:rsidRDefault="004632C5">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Middle 60 percent low</w:t>
            </w:r>
          </w:p>
        </w:tc>
        <w:tc>
          <w:tcPr>
            <w:tcW w:w="1170" w:type="dxa"/>
            <w:tcBorders>
              <w:bottom w:val="single" w:sz="12" w:space="0" w:color="FFFFFF"/>
            </w:tcBorders>
            <w:shd w:val="clear" w:color="auto" w:fill="106CB5"/>
            <w:noWrap/>
            <w:vAlign w:val="center"/>
            <w:hideMark/>
          </w:tcPr>
          <w:p w:rsidR="00ED2B37" w:rsidRDefault="004632C5">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Middle 60 percent high</w:t>
            </w:r>
          </w:p>
        </w:tc>
        <w:tc>
          <w:tcPr>
            <w:tcW w:w="1341" w:type="dxa"/>
            <w:tcBorders>
              <w:bottom w:val="single" w:sz="12" w:space="0" w:color="FFFFFF"/>
            </w:tcBorders>
            <w:shd w:val="clear" w:color="auto" w:fill="106CB5"/>
            <w:noWrap/>
            <w:vAlign w:val="center"/>
            <w:hideMark/>
          </w:tcPr>
          <w:p w:rsidR="00ED2B37" w:rsidRDefault="004632C5">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Similar School Comparison</w:t>
            </w:r>
          </w:p>
        </w:tc>
      </w:tr>
      <w:tr w:rsidR="004161F2" w:rsidTr="004161F2">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2199" w:type="dxa"/>
            <w:tcBorders>
              <w:top w:val="single" w:sz="12" w:space="0" w:color="FFFFFF"/>
              <w:bottom w:val="single" w:sz="4" w:space="0" w:color="106CB5"/>
            </w:tcBorders>
            <w:shd w:val="clear" w:color="auto" w:fill="FFFFFF"/>
          </w:tcPr>
          <w:p w:rsidR="00ED2B37" w:rsidRDefault="004632C5">
            <w:pPr>
              <w:spacing w:before="40" w:after="40" w:line="240" w:lineRule="auto"/>
              <w:rPr>
                <w:rFonts w:cs="Times New Roman"/>
                <w:szCs w:val="22"/>
              </w:rPr>
            </w:pPr>
            <w:r>
              <w:rPr>
                <w:rFonts w:cs="Times New Roman"/>
                <w:szCs w:val="22"/>
              </w:rPr>
              <w:t>Year Level</w:t>
            </w:r>
          </w:p>
        </w:tc>
        <w:tc>
          <w:tcPr>
            <w:tcW w:w="2410" w:type="dxa"/>
            <w:tcBorders>
              <w:top w:val="single" w:sz="12" w:space="0" w:color="FFFFFF"/>
              <w:bottom w:val="single" w:sz="4" w:space="0" w:color="106CB5"/>
            </w:tcBorders>
            <w:shd w:val="clear" w:color="auto" w:fill="FFFFFF"/>
            <w:noWrap/>
            <w:vAlign w:val="center"/>
          </w:tcPr>
          <w:p w:rsidR="00ED2B37" w:rsidRDefault="004632C5">
            <w:pPr>
              <w:spacing w:before="40" w:after="40" w:line="240" w:lineRule="auto"/>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Domain - measure</w:t>
            </w:r>
          </w:p>
        </w:tc>
        <w:tc>
          <w:tcPr>
            <w:tcW w:w="1169" w:type="dxa"/>
            <w:tcBorders>
              <w:top w:val="single" w:sz="12" w:space="0" w:color="FFFFFF"/>
              <w:bottom w:val="single" w:sz="4" w:space="0" w:color="106CB5"/>
            </w:tcBorders>
            <w:shd w:val="clear" w:color="auto" w:fill="FFFFFF"/>
            <w:noWrap/>
            <w:vAlign w:val="center"/>
          </w:tcPr>
          <w:p w:rsidR="00ED2B37" w:rsidRDefault="004632C5">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1170" w:type="dxa"/>
            <w:tcBorders>
              <w:top w:val="single" w:sz="12" w:space="0" w:color="FFFFFF"/>
              <w:bottom w:val="single" w:sz="4" w:space="0" w:color="106CB5"/>
            </w:tcBorders>
            <w:shd w:val="clear" w:color="auto" w:fill="FFFFFF"/>
            <w:noWrap/>
            <w:vAlign w:val="center"/>
          </w:tcPr>
          <w:p w:rsidR="00ED2B37" w:rsidRDefault="004632C5">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1169" w:type="dxa"/>
            <w:tcBorders>
              <w:top w:val="single" w:sz="12" w:space="0" w:color="FFFFFF"/>
              <w:bottom w:val="single" w:sz="4" w:space="0" w:color="106CB5"/>
            </w:tcBorders>
            <w:shd w:val="clear" w:color="auto" w:fill="FFFFFF"/>
            <w:noWrap/>
            <w:vAlign w:val="center"/>
          </w:tcPr>
          <w:p w:rsidR="00ED2B37" w:rsidRDefault="004632C5">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1170" w:type="dxa"/>
            <w:tcBorders>
              <w:top w:val="single" w:sz="12" w:space="0" w:color="FFFFFF"/>
              <w:bottom w:val="single" w:sz="4" w:space="0" w:color="106CB5"/>
            </w:tcBorders>
            <w:shd w:val="clear" w:color="auto" w:fill="FFFFFF"/>
            <w:noWrap/>
            <w:vAlign w:val="center"/>
          </w:tcPr>
          <w:p w:rsidR="00ED2B37" w:rsidRDefault="004632C5">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1341" w:type="dxa"/>
            <w:tcBorders>
              <w:top w:val="single" w:sz="12" w:space="0" w:color="FFFFFF"/>
              <w:bottom w:val="single" w:sz="4" w:space="0" w:color="106CB5"/>
            </w:tcBorders>
            <w:shd w:val="clear" w:color="auto" w:fill="FFFFFF"/>
            <w:noWrap/>
            <w:vAlign w:val="center"/>
          </w:tcPr>
          <w:p w:rsidR="00ED2B37" w:rsidRDefault="004632C5">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p>
        </w:tc>
      </w:tr>
      <w:tr w:rsidR="004161F2" w:rsidTr="004161F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99" w:type="dxa"/>
            <w:tcBorders>
              <w:top w:val="single" w:sz="4" w:space="0" w:color="106CB5"/>
              <w:bottom w:val="single" w:sz="4" w:space="0" w:color="FFFFFF" w:themeColor="background1"/>
              <w:right w:val="single" w:sz="4" w:space="0" w:color="FFFFFF" w:themeColor="background1"/>
            </w:tcBorders>
            <w:shd w:val="clear" w:color="auto" w:fill="D9D9D9" w:themeFill="background1" w:themeFillShade="D9"/>
          </w:tcPr>
          <w:p w:rsidR="00ED2B37" w:rsidRDefault="004632C5">
            <w:pPr>
              <w:spacing w:before="40" w:after="40" w:line="240" w:lineRule="auto"/>
              <w:rPr>
                <w:rFonts w:cs="Times New Roman"/>
                <w:szCs w:val="22"/>
              </w:rPr>
            </w:pPr>
            <w:r>
              <w:rPr>
                <w:rFonts w:cs="Times New Roman"/>
                <w:b w:val="0"/>
                <w:szCs w:val="22"/>
              </w:rPr>
              <w:t>Year 3</w:t>
            </w:r>
          </w:p>
        </w:tc>
        <w:tc>
          <w:tcPr>
            <w:tcW w:w="2410" w:type="dxa"/>
            <w:tcBorders>
              <w:top w:val="single" w:sz="4" w:space="0" w:color="106CB5"/>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noWrap/>
            <w:vAlign w:val="center"/>
          </w:tcPr>
          <w:p w:rsidR="00ED2B37" w:rsidRDefault="004632C5">
            <w:pPr>
              <w:spacing w:before="40" w:after="40" w:line="240" w:lineRule="auto"/>
              <w:cnfStyle w:val="000000100000" w:firstRow="0" w:lastRow="0" w:firstColumn="0" w:lastColumn="0" w:oddVBand="0" w:evenVBand="0" w:oddHBand="1" w:evenHBand="0" w:firstRowFirstColumn="0" w:firstRowLastColumn="0" w:lastRowFirstColumn="0" w:lastRowLastColumn="0"/>
              <w:rPr>
                <w:rFonts w:cs="Times New Roman"/>
                <w:bCs/>
                <w:szCs w:val="22"/>
              </w:rPr>
            </w:pPr>
            <w:r>
              <w:rPr>
                <w:rFonts w:cs="Times New Roman"/>
                <w:bCs/>
                <w:szCs w:val="22"/>
              </w:rPr>
              <w:t>Reading (4 year average)</w:t>
            </w:r>
          </w:p>
        </w:tc>
        <w:tc>
          <w:tcPr>
            <w:tcW w:w="1169" w:type="dxa"/>
            <w:tcBorders>
              <w:top w:val="single" w:sz="4" w:space="0" w:color="106CB5"/>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noWrap/>
            <w:vAlign w:val="center"/>
          </w:tcPr>
          <w:p w:rsidR="00ED2B37" w:rsidRDefault="004632C5">
            <w:pPr>
              <w:jc w:val="right"/>
              <w:cnfStyle w:val="000000100000" w:firstRow="0" w:lastRow="0" w:firstColumn="0" w:lastColumn="0" w:oddVBand="0" w:evenVBand="0" w:oddHBand="1" w:evenHBand="0" w:firstRowFirstColumn="0" w:firstRowLastColumn="0" w:lastRowFirstColumn="0" w:lastRowLastColumn="0"/>
            </w:pPr>
            <w:r>
              <w:t xml:space="preserve">  81.5</w:t>
            </w:r>
          </w:p>
        </w:tc>
        <w:tc>
          <w:tcPr>
            <w:tcW w:w="1170" w:type="dxa"/>
            <w:tcBorders>
              <w:top w:val="single" w:sz="4" w:space="0" w:color="106CB5"/>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noWrap/>
            <w:vAlign w:val="center"/>
          </w:tcPr>
          <w:p w:rsidR="00ED2B37" w:rsidRDefault="004632C5">
            <w:pPr>
              <w:jc w:val="right"/>
              <w:cnfStyle w:val="000000100000" w:firstRow="0" w:lastRow="0" w:firstColumn="0" w:lastColumn="0" w:oddVBand="0" w:evenVBand="0" w:oddHBand="1" w:evenHBand="0" w:firstRowFirstColumn="0" w:firstRowLastColumn="0" w:lastRowFirstColumn="0" w:lastRowLastColumn="0"/>
            </w:pPr>
            <w:r>
              <w:t>73.0</w:t>
            </w:r>
          </w:p>
        </w:tc>
        <w:tc>
          <w:tcPr>
            <w:tcW w:w="1169" w:type="dxa"/>
            <w:tcBorders>
              <w:top w:val="single" w:sz="4" w:space="0" w:color="106CB5"/>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noWrap/>
            <w:vAlign w:val="center"/>
          </w:tcPr>
          <w:p w:rsidR="00ED2B37" w:rsidRDefault="004632C5">
            <w:pPr>
              <w:jc w:val="right"/>
              <w:cnfStyle w:val="000000100000" w:firstRow="0" w:lastRow="0" w:firstColumn="0" w:lastColumn="0" w:oddVBand="0" w:evenVBand="0" w:oddHBand="1" w:evenHBand="0" w:firstRowFirstColumn="0" w:firstRowLastColumn="0" w:lastRowFirstColumn="0" w:lastRowLastColumn="0"/>
            </w:pPr>
            <w:r>
              <w:t>59.7</w:t>
            </w:r>
          </w:p>
        </w:tc>
        <w:tc>
          <w:tcPr>
            <w:tcW w:w="1170" w:type="dxa"/>
            <w:tcBorders>
              <w:top w:val="single" w:sz="4" w:space="0" w:color="106CB5"/>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noWrap/>
            <w:vAlign w:val="center"/>
          </w:tcPr>
          <w:p w:rsidR="00ED2B37" w:rsidRDefault="004632C5">
            <w:pPr>
              <w:jc w:val="right"/>
              <w:cnfStyle w:val="000000100000" w:firstRow="0" w:lastRow="0" w:firstColumn="0" w:lastColumn="0" w:oddVBand="0" w:evenVBand="0" w:oddHBand="1" w:evenHBand="0" w:firstRowFirstColumn="0" w:firstRowLastColumn="0" w:lastRowFirstColumn="0" w:lastRowLastColumn="0"/>
            </w:pPr>
            <w:r>
              <w:t>84.9</w:t>
            </w:r>
          </w:p>
        </w:tc>
        <w:tc>
          <w:tcPr>
            <w:tcW w:w="1341" w:type="dxa"/>
            <w:tcBorders>
              <w:top w:val="single" w:sz="4" w:space="0" w:color="106CB5"/>
              <w:left w:val="single" w:sz="4" w:space="0" w:color="FFFFFF" w:themeColor="background1"/>
              <w:bottom w:val="single" w:sz="4" w:space="0" w:color="FFFFFF" w:themeColor="background1"/>
            </w:tcBorders>
            <w:shd w:val="clear" w:color="auto" w:fill="D9D9D9" w:themeFill="background1" w:themeFillShade="D9"/>
            <w:noWrap/>
            <w:vAlign w:val="center"/>
          </w:tcPr>
          <w:p w:rsidR="00ED2B37" w:rsidRDefault="004632C5">
            <w:pPr>
              <w:jc w:val="right"/>
              <w:cnfStyle w:val="000000100000" w:firstRow="0" w:lastRow="0" w:firstColumn="0" w:lastColumn="0" w:oddVBand="0" w:evenVBand="0" w:oddHBand="1" w:evenHBand="0" w:firstRowFirstColumn="0" w:firstRowLastColumn="0" w:lastRowFirstColumn="0" w:lastRowLastColumn="0"/>
            </w:pPr>
            <w:r>
              <w:t>-</w:t>
            </w:r>
          </w:p>
        </w:tc>
      </w:tr>
      <w:tr w:rsidR="004161F2" w:rsidTr="004161F2">
        <w:trPr>
          <w:jc w:val="center"/>
        </w:trPr>
        <w:tc>
          <w:tcPr>
            <w:cnfStyle w:val="001000000000" w:firstRow="0" w:lastRow="0" w:firstColumn="1" w:lastColumn="0" w:oddVBand="0" w:evenVBand="0" w:oddHBand="0" w:evenHBand="0" w:firstRowFirstColumn="0" w:firstRowLastColumn="0" w:lastRowFirstColumn="0" w:lastRowLastColumn="0"/>
            <w:tcW w:w="2199" w:type="dxa"/>
            <w:tcBorders>
              <w:top w:val="single" w:sz="4" w:space="0" w:color="FFFFFF" w:themeColor="background1"/>
              <w:bottom w:val="single" w:sz="4" w:space="0" w:color="126CB5"/>
              <w:right w:val="single" w:sz="4" w:space="0" w:color="FFFFFF" w:themeColor="background1"/>
            </w:tcBorders>
            <w:shd w:val="clear" w:color="auto" w:fill="auto"/>
          </w:tcPr>
          <w:p w:rsidR="00ED2B37" w:rsidRDefault="004632C5">
            <w:pPr>
              <w:spacing w:before="40" w:after="40" w:line="240" w:lineRule="auto"/>
              <w:rPr>
                <w:rFonts w:cs="Times New Roman"/>
                <w:szCs w:val="22"/>
              </w:rPr>
            </w:pPr>
            <w:r>
              <w:rPr>
                <w:rFonts w:cs="Times New Roman"/>
                <w:b w:val="0"/>
                <w:szCs w:val="22"/>
              </w:rPr>
              <w:t>Year 3</w:t>
            </w:r>
          </w:p>
        </w:tc>
        <w:tc>
          <w:tcPr>
            <w:tcW w:w="2410" w:type="dxa"/>
            <w:tcBorders>
              <w:top w:val="single" w:sz="4" w:space="0" w:color="FFFFFF" w:themeColor="background1"/>
              <w:left w:val="single" w:sz="4" w:space="0" w:color="FFFFFF" w:themeColor="background1"/>
              <w:bottom w:val="single" w:sz="4" w:space="0" w:color="126CB5"/>
              <w:right w:val="single" w:sz="4" w:space="0" w:color="FFFFFF" w:themeColor="background1"/>
            </w:tcBorders>
            <w:shd w:val="clear" w:color="auto" w:fill="auto"/>
            <w:noWrap/>
            <w:vAlign w:val="center"/>
          </w:tcPr>
          <w:p w:rsidR="00ED2B37" w:rsidRDefault="004632C5">
            <w:pPr>
              <w:spacing w:before="40" w:after="40" w:line="240" w:lineRule="auto"/>
              <w:cnfStyle w:val="000000000000" w:firstRow="0" w:lastRow="0" w:firstColumn="0" w:lastColumn="0" w:oddVBand="0" w:evenVBand="0" w:oddHBand="0" w:evenHBand="0" w:firstRowFirstColumn="0" w:firstRowLastColumn="0" w:lastRowFirstColumn="0" w:lastRowLastColumn="0"/>
              <w:rPr>
                <w:rFonts w:cs="Times New Roman"/>
                <w:szCs w:val="22"/>
              </w:rPr>
            </w:pPr>
            <w:r>
              <w:rPr>
                <w:rFonts w:cs="Times New Roman"/>
                <w:szCs w:val="22"/>
              </w:rPr>
              <w:t>Numeracy (4 year average)</w:t>
            </w:r>
          </w:p>
        </w:tc>
        <w:tc>
          <w:tcPr>
            <w:tcW w:w="1169" w:type="dxa"/>
            <w:tcBorders>
              <w:top w:val="single" w:sz="4" w:space="0" w:color="FFFFFF" w:themeColor="background1"/>
              <w:left w:val="single" w:sz="4" w:space="0" w:color="FFFFFF" w:themeColor="background1"/>
              <w:bottom w:val="single" w:sz="4" w:space="0" w:color="126CB5"/>
              <w:right w:val="single" w:sz="4" w:space="0" w:color="FFFFFF" w:themeColor="background1"/>
            </w:tcBorders>
            <w:shd w:val="clear" w:color="auto" w:fill="auto"/>
            <w:noWrap/>
            <w:vAlign w:val="center"/>
          </w:tcPr>
          <w:p w:rsidR="00ED2B37" w:rsidRDefault="004632C5">
            <w:pPr>
              <w:jc w:val="right"/>
              <w:cnfStyle w:val="000000000000" w:firstRow="0" w:lastRow="0" w:firstColumn="0" w:lastColumn="0" w:oddVBand="0" w:evenVBand="0" w:oddHBand="0" w:evenHBand="0" w:firstRowFirstColumn="0" w:firstRowLastColumn="0" w:lastRowFirstColumn="0" w:lastRowLastColumn="0"/>
            </w:pPr>
            <w:r>
              <w:t xml:space="preserve">  78.2</w:t>
            </w:r>
          </w:p>
        </w:tc>
        <w:tc>
          <w:tcPr>
            <w:tcW w:w="1170" w:type="dxa"/>
            <w:tcBorders>
              <w:top w:val="single" w:sz="4" w:space="0" w:color="FFFFFF" w:themeColor="background1"/>
              <w:left w:val="single" w:sz="4" w:space="0" w:color="FFFFFF" w:themeColor="background1"/>
              <w:bottom w:val="single" w:sz="4" w:space="0" w:color="126CB5"/>
              <w:right w:val="single" w:sz="4" w:space="0" w:color="FFFFFF" w:themeColor="background1"/>
            </w:tcBorders>
            <w:shd w:val="clear" w:color="auto" w:fill="auto"/>
            <w:noWrap/>
            <w:vAlign w:val="center"/>
          </w:tcPr>
          <w:p w:rsidR="00ED2B37" w:rsidRDefault="004632C5">
            <w:pPr>
              <w:jc w:val="right"/>
              <w:cnfStyle w:val="000000000000" w:firstRow="0" w:lastRow="0" w:firstColumn="0" w:lastColumn="0" w:oddVBand="0" w:evenVBand="0" w:oddHBand="0" w:evenHBand="0" w:firstRowFirstColumn="0" w:firstRowLastColumn="0" w:lastRowFirstColumn="0" w:lastRowLastColumn="0"/>
            </w:pPr>
            <w:r>
              <w:t>67.1</w:t>
            </w:r>
          </w:p>
        </w:tc>
        <w:tc>
          <w:tcPr>
            <w:tcW w:w="1169" w:type="dxa"/>
            <w:tcBorders>
              <w:top w:val="single" w:sz="4" w:space="0" w:color="FFFFFF" w:themeColor="background1"/>
              <w:left w:val="single" w:sz="4" w:space="0" w:color="FFFFFF" w:themeColor="background1"/>
              <w:bottom w:val="single" w:sz="4" w:space="0" w:color="126CB5"/>
              <w:right w:val="single" w:sz="4" w:space="0" w:color="FFFFFF" w:themeColor="background1"/>
            </w:tcBorders>
            <w:shd w:val="clear" w:color="auto" w:fill="auto"/>
            <w:noWrap/>
            <w:vAlign w:val="center"/>
          </w:tcPr>
          <w:p w:rsidR="00ED2B37" w:rsidRDefault="004632C5">
            <w:pPr>
              <w:jc w:val="right"/>
              <w:cnfStyle w:val="000000000000" w:firstRow="0" w:lastRow="0" w:firstColumn="0" w:lastColumn="0" w:oddVBand="0" w:evenVBand="0" w:oddHBand="0" w:evenHBand="0" w:firstRowFirstColumn="0" w:firstRowLastColumn="0" w:lastRowFirstColumn="0" w:lastRowLastColumn="0"/>
            </w:pPr>
            <w:r>
              <w:t>52.4</w:t>
            </w:r>
          </w:p>
        </w:tc>
        <w:tc>
          <w:tcPr>
            <w:tcW w:w="1170" w:type="dxa"/>
            <w:tcBorders>
              <w:top w:val="single" w:sz="4" w:space="0" w:color="FFFFFF" w:themeColor="background1"/>
              <w:left w:val="single" w:sz="4" w:space="0" w:color="FFFFFF" w:themeColor="background1"/>
              <w:bottom w:val="single" w:sz="4" w:space="0" w:color="126CB5"/>
              <w:right w:val="single" w:sz="4" w:space="0" w:color="FFFFFF" w:themeColor="background1"/>
            </w:tcBorders>
            <w:shd w:val="clear" w:color="auto" w:fill="auto"/>
            <w:noWrap/>
            <w:vAlign w:val="center"/>
          </w:tcPr>
          <w:p w:rsidR="00ED2B37" w:rsidRDefault="004632C5">
            <w:pPr>
              <w:jc w:val="right"/>
              <w:cnfStyle w:val="000000000000" w:firstRow="0" w:lastRow="0" w:firstColumn="0" w:lastColumn="0" w:oddVBand="0" w:evenVBand="0" w:oddHBand="0" w:evenHBand="0" w:firstRowFirstColumn="0" w:firstRowLastColumn="0" w:lastRowFirstColumn="0" w:lastRowLastColumn="0"/>
            </w:pPr>
            <w:r>
              <w:t>80.7</w:t>
            </w:r>
          </w:p>
        </w:tc>
        <w:tc>
          <w:tcPr>
            <w:tcW w:w="1341" w:type="dxa"/>
            <w:tcBorders>
              <w:top w:val="single" w:sz="4" w:space="0" w:color="FFFFFF" w:themeColor="background1"/>
              <w:left w:val="single" w:sz="4" w:space="0" w:color="FFFFFF" w:themeColor="background1"/>
              <w:bottom w:val="single" w:sz="4" w:space="0" w:color="126CB5"/>
            </w:tcBorders>
            <w:shd w:val="clear" w:color="auto" w:fill="auto"/>
            <w:noWrap/>
            <w:vAlign w:val="center"/>
          </w:tcPr>
          <w:p w:rsidR="00ED2B37" w:rsidRDefault="004632C5">
            <w:pPr>
              <w:jc w:val="right"/>
              <w:cnfStyle w:val="000000000000" w:firstRow="0" w:lastRow="0" w:firstColumn="0" w:lastColumn="0" w:oddVBand="0" w:evenVBand="0" w:oddHBand="0" w:evenHBand="0" w:firstRowFirstColumn="0" w:firstRowLastColumn="0" w:lastRowFirstColumn="0" w:lastRowLastColumn="0"/>
            </w:pPr>
            <w:r>
              <w:t>-</w:t>
            </w:r>
          </w:p>
        </w:tc>
      </w:tr>
      <w:tr w:rsidR="004161F2" w:rsidTr="004161F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99" w:type="dxa"/>
            <w:tcBorders>
              <w:top w:val="single" w:sz="4" w:space="0" w:color="126CB5"/>
              <w:bottom w:val="single" w:sz="4" w:space="0" w:color="FFFFFF" w:themeColor="background1"/>
              <w:right w:val="single" w:sz="4" w:space="0" w:color="FFFFFF" w:themeColor="background1"/>
            </w:tcBorders>
            <w:shd w:val="clear" w:color="auto" w:fill="D9D9D9" w:themeFill="background1" w:themeFillShade="D9"/>
          </w:tcPr>
          <w:p w:rsidR="00ED2B37" w:rsidRDefault="004632C5">
            <w:pPr>
              <w:spacing w:before="40" w:after="40" w:line="240" w:lineRule="auto"/>
              <w:rPr>
                <w:rFonts w:cs="Times New Roman"/>
                <w:szCs w:val="22"/>
              </w:rPr>
            </w:pPr>
            <w:r>
              <w:rPr>
                <w:rFonts w:cs="Times New Roman"/>
                <w:b w:val="0"/>
                <w:szCs w:val="22"/>
              </w:rPr>
              <w:t>Year 5</w:t>
            </w:r>
          </w:p>
        </w:tc>
        <w:tc>
          <w:tcPr>
            <w:tcW w:w="2410" w:type="dxa"/>
            <w:tcBorders>
              <w:top w:val="single" w:sz="4" w:space="0" w:color="126CB5"/>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noWrap/>
            <w:vAlign w:val="center"/>
          </w:tcPr>
          <w:p w:rsidR="00ED2B37" w:rsidRDefault="004632C5">
            <w:pPr>
              <w:spacing w:before="40" w:after="40" w:line="240" w:lineRule="auto"/>
              <w:cnfStyle w:val="000000100000" w:firstRow="0" w:lastRow="0" w:firstColumn="0" w:lastColumn="0" w:oddVBand="0" w:evenVBand="0" w:oddHBand="1" w:evenHBand="0" w:firstRowFirstColumn="0" w:firstRowLastColumn="0" w:lastRowFirstColumn="0" w:lastRowLastColumn="0"/>
              <w:rPr>
                <w:rFonts w:cs="Times New Roman"/>
                <w:szCs w:val="22"/>
              </w:rPr>
            </w:pPr>
            <w:r>
              <w:rPr>
                <w:rFonts w:cs="Times New Roman"/>
                <w:szCs w:val="22"/>
              </w:rPr>
              <w:t>Reading (4 year average)</w:t>
            </w:r>
          </w:p>
        </w:tc>
        <w:tc>
          <w:tcPr>
            <w:tcW w:w="1169" w:type="dxa"/>
            <w:tcBorders>
              <w:top w:val="single" w:sz="4" w:space="0" w:color="126CB5"/>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noWrap/>
            <w:vAlign w:val="center"/>
          </w:tcPr>
          <w:p w:rsidR="00ED2B37" w:rsidRDefault="004632C5">
            <w:pPr>
              <w:jc w:val="right"/>
              <w:cnfStyle w:val="000000100000" w:firstRow="0" w:lastRow="0" w:firstColumn="0" w:lastColumn="0" w:oddVBand="0" w:evenVBand="0" w:oddHBand="1" w:evenHBand="0" w:firstRowFirstColumn="0" w:firstRowLastColumn="0" w:lastRowFirstColumn="0" w:lastRowLastColumn="0"/>
            </w:pPr>
            <w:r>
              <w:t xml:space="preserve">  70.9</w:t>
            </w:r>
          </w:p>
        </w:tc>
        <w:tc>
          <w:tcPr>
            <w:tcW w:w="1170" w:type="dxa"/>
            <w:tcBorders>
              <w:top w:val="single" w:sz="4" w:space="0" w:color="126CB5"/>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noWrap/>
            <w:vAlign w:val="center"/>
          </w:tcPr>
          <w:p w:rsidR="00ED2B37" w:rsidRDefault="004632C5">
            <w:pPr>
              <w:jc w:val="right"/>
              <w:cnfStyle w:val="000000100000" w:firstRow="0" w:lastRow="0" w:firstColumn="0" w:lastColumn="0" w:oddVBand="0" w:evenVBand="0" w:oddHBand="1" w:evenHBand="0" w:firstRowFirstColumn="0" w:firstRowLastColumn="0" w:lastRowFirstColumn="0" w:lastRowLastColumn="0"/>
            </w:pPr>
            <w:r>
              <w:t>64.1</w:t>
            </w:r>
          </w:p>
        </w:tc>
        <w:tc>
          <w:tcPr>
            <w:tcW w:w="1169" w:type="dxa"/>
            <w:tcBorders>
              <w:top w:val="single" w:sz="4" w:space="0" w:color="126CB5"/>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noWrap/>
            <w:vAlign w:val="center"/>
          </w:tcPr>
          <w:p w:rsidR="00ED2B37" w:rsidRDefault="004632C5">
            <w:pPr>
              <w:jc w:val="right"/>
              <w:cnfStyle w:val="000000100000" w:firstRow="0" w:lastRow="0" w:firstColumn="0" w:lastColumn="0" w:oddVBand="0" w:evenVBand="0" w:oddHBand="1" w:evenHBand="0" w:firstRowFirstColumn="0" w:firstRowLastColumn="0" w:lastRowFirstColumn="0" w:lastRowLastColumn="0"/>
            </w:pPr>
            <w:r>
              <w:t>50.0</w:t>
            </w:r>
          </w:p>
        </w:tc>
        <w:tc>
          <w:tcPr>
            <w:tcW w:w="1170" w:type="dxa"/>
            <w:tcBorders>
              <w:top w:val="single" w:sz="4" w:space="0" w:color="126CB5"/>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noWrap/>
            <w:vAlign w:val="center"/>
          </w:tcPr>
          <w:p w:rsidR="00ED2B37" w:rsidRDefault="004632C5">
            <w:pPr>
              <w:jc w:val="right"/>
              <w:cnfStyle w:val="000000100000" w:firstRow="0" w:lastRow="0" w:firstColumn="0" w:lastColumn="0" w:oddVBand="0" w:evenVBand="0" w:oddHBand="1" w:evenHBand="0" w:firstRowFirstColumn="0" w:firstRowLastColumn="0" w:lastRowFirstColumn="0" w:lastRowLastColumn="0"/>
            </w:pPr>
            <w:r>
              <w:t>77.8</w:t>
            </w:r>
          </w:p>
        </w:tc>
        <w:tc>
          <w:tcPr>
            <w:tcW w:w="1341" w:type="dxa"/>
            <w:tcBorders>
              <w:top w:val="single" w:sz="4" w:space="0" w:color="126CB5"/>
              <w:left w:val="single" w:sz="4" w:space="0" w:color="FFFFFF" w:themeColor="background1"/>
              <w:bottom w:val="single" w:sz="4" w:space="0" w:color="FFFFFF" w:themeColor="background1"/>
            </w:tcBorders>
            <w:shd w:val="clear" w:color="auto" w:fill="D9D9D9" w:themeFill="background1" w:themeFillShade="D9"/>
            <w:noWrap/>
            <w:vAlign w:val="center"/>
          </w:tcPr>
          <w:p w:rsidR="00ED2B37" w:rsidRDefault="004632C5">
            <w:pPr>
              <w:jc w:val="right"/>
              <w:cnfStyle w:val="000000100000" w:firstRow="0" w:lastRow="0" w:firstColumn="0" w:lastColumn="0" w:oddVBand="0" w:evenVBand="0" w:oddHBand="1" w:evenHBand="0" w:firstRowFirstColumn="0" w:firstRowLastColumn="0" w:lastRowFirstColumn="0" w:lastRowLastColumn="0"/>
            </w:pPr>
            <w:r>
              <w:t>-</w:t>
            </w:r>
          </w:p>
        </w:tc>
      </w:tr>
      <w:tr w:rsidR="004161F2" w:rsidTr="004161F2">
        <w:trPr>
          <w:jc w:val="center"/>
        </w:trPr>
        <w:tc>
          <w:tcPr>
            <w:cnfStyle w:val="001000000000" w:firstRow="0" w:lastRow="0" w:firstColumn="1" w:lastColumn="0" w:oddVBand="0" w:evenVBand="0" w:oddHBand="0" w:evenHBand="0" w:firstRowFirstColumn="0" w:firstRowLastColumn="0" w:lastRowFirstColumn="0" w:lastRowLastColumn="0"/>
            <w:tcW w:w="2199" w:type="dxa"/>
            <w:tcBorders>
              <w:top w:val="single" w:sz="4" w:space="0" w:color="FFFFFF" w:themeColor="background1"/>
              <w:bottom w:val="single" w:sz="2" w:space="0" w:color="126CB5"/>
              <w:right w:val="single" w:sz="4" w:space="0" w:color="FFFFFF" w:themeColor="background1"/>
            </w:tcBorders>
            <w:shd w:val="clear" w:color="auto" w:fill="auto"/>
          </w:tcPr>
          <w:p w:rsidR="00ED2B37" w:rsidRDefault="004632C5">
            <w:pPr>
              <w:spacing w:before="40" w:after="40" w:line="240" w:lineRule="auto"/>
              <w:rPr>
                <w:rFonts w:cs="Times New Roman"/>
                <w:szCs w:val="22"/>
              </w:rPr>
            </w:pPr>
            <w:r>
              <w:rPr>
                <w:rFonts w:cs="Times New Roman"/>
                <w:b w:val="0"/>
                <w:szCs w:val="22"/>
              </w:rPr>
              <w:t>Year 5</w:t>
            </w:r>
          </w:p>
        </w:tc>
        <w:tc>
          <w:tcPr>
            <w:tcW w:w="2410" w:type="dxa"/>
            <w:tcBorders>
              <w:top w:val="single" w:sz="4" w:space="0" w:color="FFFFFF" w:themeColor="background1"/>
              <w:left w:val="single" w:sz="4" w:space="0" w:color="FFFFFF" w:themeColor="background1"/>
              <w:bottom w:val="single" w:sz="2" w:space="0" w:color="126CB5"/>
              <w:right w:val="single" w:sz="4" w:space="0" w:color="FFFFFF" w:themeColor="background1"/>
            </w:tcBorders>
            <w:shd w:val="clear" w:color="auto" w:fill="auto"/>
            <w:noWrap/>
            <w:vAlign w:val="center"/>
          </w:tcPr>
          <w:p w:rsidR="00ED2B37" w:rsidRDefault="004632C5">
            <w:pPr>
              <w:spacing w:before="40" w:after="40" w:line="240" w:lineRule="auto"/>
              <w:cnfStyle w:val="000000000000" w:firstRow="0" w:lastRow="0" w:firstColumn="0" w:lastColumn="0" w:oddVBand="0" w:evenVBand="0" w:oddHBand="0" w:evenHBand="0" w:firstRowFirstColumn="0" w:firstRowLastColumn="0" w:lastRowFirstColumn="0" w:lastRowLastColumn="0"/>
              <w:rPr>
                <w:rFonts w:cs="Times New Roman"/>
                <w:szCs w:val="22"/>
              </w:rPr>
            </w:pPr>
            <w:r>
              <w:rPr>
                <w:rFonts w:cs="Times New Roman"/>
                <w:szCs w:val="22"/>
              </w:rPr>
              <w:t>Numeracy (4 year average)</w:t>
            </w:r>
          </w:p>
        </w:tc>
        <w:tc>
          <w:tcPr>
            <w:tcW w:w="1169" w:type="dxa"/>
            <w:tcBorders>
              <w:top w:val="single" w:sz="4" w:space="0" w:color="FFFFFF" w:themeColor="background1"/>
              <w:left w:val="single" w:sz="4" w:space="0" w:color="FFFFFF" w:themeColor="background1"/>
              <w:bottom w:val="single" w:sz="2" w:space="0" w:color="126CB5"/>
              <w:right w:val="single" w:sz="4" w:space="0" w:color="FFFFFF" w:themeColor="background1"/>
            </w:tcBorders>
            <w:shd w:val="clear" w:color="auto" w:fill="auto"/>
            <w:noWrap/>
            <w:vAlign w:val="center"/>
          </w:tcPr>
          <w:p w:rsidR="00ED2B37" w:rsidRDefault="004632C5">
            <w:pPr>
              <w:jc w:val="right"/>
              <w:cnfStyle w:val="000000000000" w:firstRow="0" w:lastRow="0" w:firstColumn="0" w:lastColumn="0" w:oddVBand="0" w:evenVBand="0" w:oddHBand="0" w:evenHBand="0" w:firstRowFirstColumn="0" w:firstRowLastColumn="0" w:lastRowFirstColumn="0" w:lastRowLastColumn="0"/>
            </w:pPr>
            <w:r>
              <w:t xml:space="preserve">  69.2</w:t>
            </w:r>
          </w:p>
        </w:tc>
        <w:tc>
          <w:tcPr>
            <w:tcW w:w="1170" w:type="dxa"/>
            <w:tcBorders>
              <w:top w:val="single" w:sz="4" w:space="0" w:color="FFFFFF" w:themeColor="background1"/>
              <w:left w:val="single" w:sz="4" w:space="0" w:color="FFFFFF" w:themeColor="background1"/>
              <w:bottom w:val="single" w:sz="2" w:space="0" w:color="126CB5"/>
              <w:right w:val="single" w:sz="4" w:space="0" w:color="FFFFFF" w:themeColor="background1"/>
            </w:tcBorders>
            <w:shd w:val="clear" w:color="auto" w:fill="auto"/>
            <w:noWrap/>
            <w:vAlign w:val="center"/>
          </w:tcPr>
          <w:p w:rsidR="00ED2B37" w:rsidRDefault="004632C5">
            <w:pPr>
              <w:jc w:val="right"/>
              <w:cnfStyle w:val="000000000000" w:firstRow="0" w:lastRow="0" w:firstColumn="0" w:lastColumn="0" w:oddVBand="0" w:evenVBand="0" w:oddHBand="0" w:evenHBand="0" w:firstRowFirstColumn="0" w:firstRowLastColumn="0" w:lastRowFirstColumn="0" w:lastRowLastColumn="0"/>
            </w:pPr>
            <w:r>
              <w:t>56.3</w:t>
            </w:r>
          </w:p>
        </w:tc>
        <w:tc>
          <w:tcPr>
            <w:tcW w:w="1169" w:type="dxa"/>
            <w:tcBorders>
              <w:top w:val="single" w:sz="4" w:space="0" w:color="FFFFFF" w:themeColor="background1"/>
              <w:left w:val="single" w:sz="4" w:space="0" w:color="FFFFFF" w:themeColor="background1"/>
              <w:bottom w:val="single" w:sz="2" w:space="0" w:color="126CB5"/>
              <w:right w:val="single" w:sz="4" w:space="0" w:color="FFFFFF" w:themeColor="background1"/>
            </w:tcBorders>
            <w:shd w:val="clear" w:color="auto" w:fill="auto"/>
            <w:noWrap/>
            <w:vAlign w:val="center"/>
          </w:tcPr>
          <w:p w:rsidR="00ED2B37" w:rsidRDefault="004632C5">
            <w:pPr>
              <w:jc w:val="right"/>
              <w:cnfStyle w:val="000000000000" w:firstRow="0" w:lastRow="0" w:firstColumn="0" w:lastColumn="0" w:oddVBand="0" w:evenVBand="0" w:oddHBand="0" w:evenHBand="0" w:firstRowFirstColumn="0" w:firstRowLastColumn="0" w:lastRowFirstColumn="0" w:lastRowLastColumn="0"/>
            </w:pPr>
            <w:r>
              <w:t>40.7</w:t>
            </w:r>
          </w:p>
        </w:tc>
        <w:tc>
          <w:tcPr>
            <w:tcW w:w="1170" w:type="dxa"/>
            <w:tcBorders>
              <w:top w:val="single" w:sz="4" w:space="0" w:color="FFFFFF" w:themeColor="background1"/>
              <w:left w:val="single" w:sz="4" w:space="0" w:color="FFFFFF" w:themeColor="background1"/>
              <w:bottom w:val="single" w:sz="2" w:space="0" w:color="126CB5"/>
              <w:right w:val="single" w:sz="4" w:space="0" w:color="FFFFFF" w:themeColor="background1"/>
            </w:tcBorders>
            <w:shd w:val="clear" w:color="auto" w:fill="auto"/>
            <w:noWrap/>
            <w:vAlign w:val="center"/>
          </w:tcPr>
          <w:p w:rsidR="00ED2B37" w:rsidRDefault="004632C5">
            <w:pPr>
              <w:jc w:val="right"/>
              <w:cnfStyle w:val="000000000000" w:firstRow="0" w:lastRow="0" w:firstColumn="0" w:lastColumn="0" w:oddVBand="0" w:evenVBand="0" w:oddHBand="0" w:evenHBand="0" w:firstRowFirstColumn="0" w:firstRowLastColumn="0" w:lastRowFirstColumn="0" w:lastRowLastColumn="0"/>
            </w:pPr>
            <w:r>
              <w:t>71.7</w:t>
            </w:r>
          </w:p>
        </w:tc>
        <w:tc>
          <w:tcPr>
            <w:tcW w:w="1341" w:type="dxa"/>
            <w:tcBorders>
              <w:top w:val="single" w:sz="4" w:space="0" w:color="FFFFFF" w:themeColor="background1"/>
              <w:left w:val="single" w:sz="4" w:space="0" w:color="FFFFFF" w:themeColor="background1"/>
              <w:bottom w:val="single" w:sz="2" w:space="0" w:color="126CB5"/>
            </w:tcBorders>
            <w:shd w:val="clear" w:color="auto" w:fill="auto"/>
            <w:noWrap/>
            <w:vAlign w:val="center"/>
          </w:tcPr>
          <w:p w:rsidR="00ED2B37" w:rsidRDefault="004632C5">
            <w:pPr>
              <w:jc w:val="right"/>
              <w:cnfStyle w:val="000000000000" w:firstRow="0" w:lastRow="0" w:firstColumn="0" w:lastColumn="0" w:oddVBand="0" w:evenVBand="0" w:oddHBand="0" w:evenHBand="0" w:firstRowFirstColumn="0" w:firstRowLastColumn="0" w:lastRowFirstColumn="0" w:lastRowLastColumn="0"/>
            </w:pPr>
            <w:r>
              <w:t>-</w:t>
            </w:r>
          </w:p>
        </w:tc>
      </w:tr>
    </w:tbl>
    <w:p w:rsidR="00ED2B37" w:rsidRDefault="004632C5">
      <w:pPr>
        <w:pStyle w:val="ESBodyText"/>
      </w:pPr>
    </w:p>
    <w:p w:rsidR="00ED2B37" w:rsidRDefault="004632C5">
      <w:pPr>
        <w:pStyle w:val="ESBodyText"/>
        <w:rPr>
          <w:rFonts w:eastAsiaTheme="majorEastAsia" w:cstheme="majorBidi"/>
          <w:b/>
          <w:bCs/>
          <w:color w:val="00008B"/>
          <w:szCs w:val="20"/>
        </w:rPr>
      </w:pPr>
      <w:r>
        <w:rPr>
          <w:rFonts w:eastAsiaTheme="majorEastAsia" w:cstheme="majorBidi"/>
          <w:b/>
          <w:bCs/>
          <w:color w:val="00008B"/>
          <w:szCs w:val="20"/>
        </w:rPr>
        <w:t>NAPLAN Learning Gain</w:t>
      </w:r>
    </w:p>
    <w:p w:rsidR="00ED2B37" w:rsidRDefault="004632C5">
      <w:pPr>
        <w:pStyle w:val="ESBodyText"/>
      </w:pPr>
      <w:r>
        <w:t xml:space="preserve">Learning </w:t>
      </w:r>
      <w:r>
        <w:t>G</w:t>
      </w:r>
      <w:r>
        <w:t xml:space="preserve">ain of students from year </w:t>
      </w:r>
      <w:r>
        <w:t>levels 3 to 5 in the following domains; Reading, Numeracy, Writing, Spelling and Grammar and Punctuation.</w:t>
      </w:r>
    </w:p>
    <w:p w:rsidR="00ED2B37" w:rsidRDefault="004632C5">
      <w:pPr>
        <w:pStyle w:val="ESBodyText"/>
      </w:pPr>
      <w:r>
        <w:t xml:space="preserve">NAPLAN </w:t>
      </w:r>
      <w:r>
        <w:t>L</w:t>
      </w:r>
      <w:r>
        <w:t xml:space="preserve">earning </w:t>
      </w:r>
      <w:r>
        <w:t>G</w:t>
      </w:r>
      <w:r>
        <w:t>ain is determined by comparing a student's current year result to the results of all ‘similar’ Victorian students (i.e. students in a</w:t>
      </w:r>
      <w:r>
        <w:t>ll sectors in the same year level who had the same score two years prior).  If the student’s gain is in the top 25 percent of their cohort, their gain level is categorised as ‘High’.  If their gain is in the bottom 25 percent of their cohort, their gain le</w:t>
      </w:r>
      <w:r>
        <w:t>vel is ‘Low’, and for the remaining 50 percent of gains the gain level is categorised as ‘Medium’.</w:t>
      </w:r>
    </w:p>
    <w:p w:rsidR="00ED2B37" w:rsidRDefault="004632C5">
      <w:pPr>
        <w:pStyle w:val="ESBodyText"/>
      </w:pPr>
      <w:r>
        <w:t xml:space="preserve">There </w:t>
      </w:r>
      <w:r>
        <w:t xml:space="preserve">are </w:t>
      </w:r>
      <w:r>
        <w:t xml:space="preserve">no </w:t>
      </w:r>
      <w:r>
        <w:t>Similar School Comparisons for Learning Gain</w:t>
      </w:r>
      <w:r>
        <w:t>.  T</w:t>
      </w:r>
      <w:r>
        <w:t xml:space="preserve">he </w:t>
      </w:r>
      <w:r>
        <w:t>s</w:t>
      </w:r>
      <w:r>
        <w:t xml:space="preserve">tatewide </w:t>
      </w:r>
      <w:r>
        <w:t>d</w:t>
      </w:r>
      <w:r>
        <w:t xml:space="preserve">istribution of </w:t>
      </w:r>
      <w:r>
        <w:t>Learning Gain for all domains is 25% Lo</w:t>
      </w:r>
      <w:r>
        <w:t>w</w:t>
      </w:r>
      <w:r>
        <w:t xml:space="preserve"> </w:t>
      </w:r>
      <w:r>
        <w:t>G</w:t>
      </w:r>
      <w:r>
        <w:t xml:space="preserve">ain, 50% Medium </w:t>
      </w:r>
      <w:r>
        <w:t>G</w:t>
      </w:r>
      <w:r>
        <w:t>ain, 25%</w:t>
      </w:r>
      <w:r>
        <w:t xml:space="preserve"> High </w:t>
      </w:r>
      <w:r>
        <w:t>G</w:t>
      </w:r>
      <w:r>
        <w:t>ain.</w:t>
      </w:r>
    </w:p>
    <w:p w:rsidR="00ED2B37" w:rsidRDefault="004632C5">
      <w:pPr>
        <w:pStyle w:val="ESBodyText"/>
      </w:pPr>
      <w:r>
        <w:t>The table below displays the percentage of students in each of the Learning Gain levels in this school for each NAPLAN domain.</w:t>
      </w:r>
    </w:p>
    <w:tbl>
      <w:tblPr>
        <w:tblStyle w:val="GridTable2-Accent611"/>
        <w:tblW w:w="10569" w:type="dxa"/>
        <w:jc w:val="center"/>
        <w:tblLayout w:type="fixed"/>
        <w:tblLook w:val="04A0" w:firstRow="1" w:lastRow="0" w:firstColumn="1" w:lastColumn="0" w:noHBand="0" w:noVBand="1"/>
        <w:tblCaption w:val="NAPLAN relative growth rates"/>
      </w:tblPr>
      <w:tblGrid>
        <w:gridCol w:w="3730"/>
        <w:gridCol w:w="2279"/>
        <w:gridCol w:w="2280"/>
        <w:gridCol w:w="2280"/>
      </w:tblGrid>
      <w:tr w:rsidR="004161F2" w:rsidTr="004161F2">
        <w:trPr>
          <w:cnfStyle w:val="100000000000" w:firstRow="1" w:lastRow="0" w:firstColumn="0" w:lastColumn="0" w:oddVBand="0" w:evenVBand="0" w:oddHBand="0" w:evenHBand="0" w:firstRowFirstColumn="0" w:firstRowLastColumn="0" w:lastRowFirstColumn="0" w:lastRowLastColumn="0"/>
          <w:trHeight w:val="395"/>
          <w:tblHeader/>
          <w:jc w:val="center"/>
        </w:trPr>
        <w:tc>
          <w:tcPr>
            <w:cnfStyle w:val="001000000000" w:firstRow="0" w:lastRow="0" w:firstColumn="1" w:lastColumn="0" w:oddVBand="0" w:evenVBand="0" w:oddHBand="0" w:evenHBand="0" w:firstRowFirstColumn="0" w:firstRowLastColumn="0" w:lastRowFirstColumn="0" w:lastRowLastColumn="0"/>
            <w:tcW w:w="3730" w:type="dxa"/>
            <w:tcBorders>
              <w:bottom w:val="single" w:sz="12" w:space="0" w:color="FFFFFF"/>
            </w:tcBorders>
            <w:shd w:val="clear" w:color="auto" w:fill="106CB5"/>
            <w:noWrap/>
            <w:vAlign w:val="center"/>
            <w:hideMark/>
          </w:tcPr>
          <w:p w:rsidR="00ED2B37" w:rsidRDefault="004632C5">
            <w:pPr>
              <w:spacing w:before="40" w:after="40" w:line="240" w:lineRule="auto"/>
              <w:rPr>
                <w:rFonts w:cs="Times New Roman"/>
                <w:color w:val="FFFFFF"/>
                <w:szCs w:val="22"/>
              </w:rPr>
            </w:pPr>
            <w:r>
              <w:rPr>
                <w:rFonts w:cs="Times New Roman"/>
                <w:bCs w:val="0"/>
                <w:color w:val="FFFFFF"/>
                <w:szCs w:val="22"/>
              </w:rPr>
              <w:t>NAPLAN Learning Gain</w:t>
            </w:r>
          </w:p>
        </w:tc>
        <w:tc>
          <w:tcPr>
            <w:tcW w:w="2279" w:type="dxa"/>
            <w:tcBorders>
              <w:bottom w:val="single" w:sz="12" w:space="0" w:color="FFFFFF"/>
            </w:tcBorders>
            <w:shd w:val="clear" w:color="auto" w:fill="106CB5"/>
            <w:noWrap/>
            <w:vAlign w:val="center"/>
            <w:hideMark/>
          </w:tcPr>
          <w:p w:rsidR="00ED2B37" w:rsidRDefault="004632C5" w:rsidP="00E63C86">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color w:val="FFFFFF"/>
                <w:szCs w:val="22"/>
              </w:rPr>
              <w:t>Low G</w:t>
            </w:r>
            <w:r>
              <w:rPr>
                <w:rFonts w:cs="Times New Roman"/>
                <w:color w:val="FFFFFF"/>
                <w:szCs w:val="22"/>
              </w:rPr>
              <w:t>ain</w:t>
            </w:r>
          </w:p>
        </w:tc>
        <w:tc>
          <w:tcPr>
            <w:tcW w:w="2280" w:type="dxa"/>
            <w:tcBorders>
              <w:bottom w:val="single" w:sz="12" w:space="0" w:color="FFFFFF"/>
            </w:tcBorders>
            <w:shd w:val="clear" w:color="auto" w:fill="106CB5"/>
            <w:noWrap/>
            <w:vAlign w:val="center"/>
            <w:hideMark/>
          </w:tcPr>
          <w:p w:rsidR="00ED2B37" w:rsidRDefault="004632C5" w:rsidP="00E63C86">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color w:val="FFFFFF"/>
                <w:szCs w:val="22"/>
              </w:rPr>
              <w:t>Medium G</w:t>
            </w:r>
            <w:r>
              <w:rPr>
                <w:rFonts w:cs="Times New Roman"/>
                <w:color w:val="FFFFFF"/>
                <w:szCs w:val="22"/>
              </w:rPr>
              <w:t>ain</w:t>
            </w:r>
          </w:p>
        </w:tc>
        <w:tc>
          <w:tcPr>
            <w:tcW w:w="2280" w:type="dxa"/>
            <w:tcBorders>
              <w:bottom w:val="single" w:sz="12" w:space="0" w:color="FFFFFF"/>
            </w:tcBorders>
            <w:shd w:val="clear" w:color="auto" w:fill="106CB5"/>
            <w:noWrap/>
            <w:vAlign w:val="center"/>
            <w:hideMark/>
          </w:tcPr>
          <w:p w:rsidR="00ED2B37" w:rsidRDefault="004632C5" w:rsidP="00E63C86">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color w:val="FFFFFF"/>
                <w:szCs w:val="22"/>
              </w:rPr>
              <w:t>High G</w:t>
            </w:r>
            <w:r>
              <w:rPr>
                <w:rFonts w:cs="Times New Roman"/>
                <w:color w:val="FFFFFF"/>
                <w:szCs w:val="22"/>
              </w:rPr>
              <w:t>ain</w:t>
            </w:r>
          </w:p>
        </w:tc>
      </w:tr>
      <w:tr w:rsidR="004161F2" w:rsidTr="004161F2">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3730" w:type="dxa"/>
            <w:tcBorders>
              <w:top w:val="single" w:sz="12" w:space="0" w:color="FFFFFF"/>
              <w:bottom w:val="single" w:sz="4" w:space="0" w:color="126CB5"/>
            </w:tcBorders>
            <w:shd w:val="clear" w:color="auto" w:fill="FFFFFF"/>
            <w:noWrap/>
            <w:vAlign w:val="center"/>
          </w:tcPr>
          <w:p w:rsidR="00ED2B37" w:rsidRDefault="004632C5">
            <w:pPr>
              <w:spacing w:before="40" w:after="40" w:line="240" w:lineRule="auto"/>
              <w:rPr>
                <w:rFonts w:cs="Times New Roman"/>
                <w:szCs w:val="22"/>
              </w:rPr>
            </w:pPr>
            <w:r>
              <w:rPr>
                <w:rFonts w:cs="Times New Roman"/>
                <w:szCs w:val="22"/>
              </w:rPr>
              <w:t>Domain</w:t>
            </w:r>
          </w:p>
        </w:tc>
        <w:tc>
          <w:tcPr>
            <w:tcW w:w="2279" w:type="dxa"/>
            <w:tcBorders>
              <w:top w:val="single" w:sz="12" w:space="0" w:color="FFFFFF"/>
              <w:bottom w:val="single" w:sz="4" w:space="0" w:color="126CB5"/>
            </w:tcBorders>
            <w:shd w:val="clear" w:color="auto" w:fill="FFFFFF"/>
            <w:noWrap/>
            <w:vAlign w:val="center"/>
          </w:tcPr>
          <w:p w:rsidR="00ED2B37" w:rsidRDefault="004632C5">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2280" w:type="dxa"/>
            <w:tcBorders>
              <w:top w:val="single" w:sz="12" w:space="0" w:color="FFFFFF"/>
              <w:bottom w:val="single" w:sz="4" w:space="0" w:color="126CB5"/>
            </w:tcBorders>
            <w:shd w:val="clear" w:color="auto" w:fill="FFFFFF"/>
            <w:noWrap/>
            <w:vAlign w:val="center"/>
          </w:tcPr>
          <w:p w:rsidR="00ED2B37" w:rsidRDefault="004632C5">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2280" w:type="dxa"/>
            <w:tcBorders>
              <w:top w:val="single" w:sz="12" w:space="0" w:color="FFFFFF"/>
              <w:bottom w:val="single" w:sz="4" w:space="0" w:color="126CB5"/>
            </w:tcBorders>
            <w:shd w:val="clear" w:color="auto" w:fill="FFFFFF"/>
            <w:noWrap/>
            <w:vAlign w:val="center"/>
          </w:tcPr>
          <w:p w:rsidR="00ED2B37" w:rsidRDefault="004632C5">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r>
      <w:tr w:rsidR="004161F2" w:rsidTr="004161F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30" w:type="dxa"/>
            <w:tcBorders>
              <w:top w:val="single" w:sz="4" w:space="0" w:color="126CB5"/>
              <w:bottom w:val="single" w:sz="4" w:space="0" w:color="FFFFFF" w:themeColor="background1"/>
              <w:right w:val="single" w:sz="4" w:space="0" w:color="FFFFFF" w:themeColor="background1"/>
            </w:tcBorders>
            <w:shd w:val="clear" w:color="auto" w:fill="D9D9D9"/>
            <w:noWrap/>
            <w:vAlign w:val="center"/>
          </w:tcPr>
          <w:p w:rsidR="00ED2B37" w:rsidRDefault="004632C5">
            <w:pPr>
              <w:spacing w:before="40" w:after="40" w:line="240" w:lineRule="auto"/>
              <w:rPr>
                <w:rFonts w:cs="Times New Roman"/>
                <w:szCs w:val="22"/>
              </w:rPr>
            </w:pPr>
            <w:r>
              <w:rPr>
                <w:rFonts w:cs="Times New Roman"/>
                <w:b w:val="0"/>
                <w:szCs w:val="22"/>
              </w:rPr>
              <w:t>Reading</w:t>
            </w:r>
          </w:p>
        </w:tc>
        <w:tc>
          <w:tcPr>
            <w:tcW w:w="2279" w:type="dxa"/>
            <w:tcBorders>
              <w:top w:val="single" w:sz="4" w:space="0" w:color="126CB5"/>
              <w:left w:val="single" w:sz="4" w:space="0" w:color="FFFFFF" w:themeColor="background1"/>
              <w:bottom w:val="single" w:sz="4" w:space="0" w:color="FFFFFF" w:themeColor="background1"/>
              <w:right w:val="single" w:sz="4" w:space="0" w:color="FFFFFF" w:themeColor="background1"/>
            </w:tcBorders>
            <w:shd w:val="clear" w:color="auto" w:fill="D9D9D9"/>
            <w:noWrap/>
            <w:vAlign w:val="center"/>
          </w:tcPr>
          <w:p w:rsidR="00ED2B37" w:rsidRDefault="004632C5">
            <w:pPr>
              <w:jc w:val="right"/>
              <w:cnfStyle w:val="000000100000" w:firstRow="0" w:lastRow="0" w:firstColumn="0" w:lastColumn="0" w:oddVBand="0" w:evenVBand="0" w:oddHBand="1" w:evenHBand="0" w:firstRowFirstColumn="0" w:firstRowLastColumn="0" w:lastRowFirstColumn="0" w:lastRowLastColumn="0"/>
            </w:pPr>
            <w:r>
              <w:t>31.3</w:t>
            </w:r>
          </w:p>
        </w:tc>
        <w:tc>
          <w:tcPr>
            <w:tcW w:w="2280" w:type="dxa"/>
            <w:tcBorders>
              <w:top w:val="single" w:sz="4" w:space="0" w:color="126CB5"/>
              <w:left w:val="single" w:sz="4" w:space="0" w:color="FFFFFF" w:themeColor="background1"/>
              <w:bottom w:val="single" w:sz="4" w:space="0" w:color="FFFFFF" w:themeColor="background1"/>
              <w:right w:val="single" w:sz="4" w:space="0" w:color="FFFFFF" w:themeColor="background1"/>
            </w:tcBorders>
            <w:shd w:val="clear" w:color="auto" w:fill="D9D9D9"/>
            <w:noWrap/>
            <w:vAlign w:val="center"/>
          </w:tcPr>
          <w:p w:rsidR="00ED2B37" w:rsidRDefault="004632C5">
            <w:pPr>
              <w:jc w:val="right"/>
              <w:cnfStyle w:val="000000100000" w:firstRow="0" w:lastRow="0" w:firstColumn="0" w:lastColumn="0" w:oddVBand="0" w:evenVBand="0" w:oddHBand="1" w:evenHBand="0" w:firstRowFirstColumn="0" w:firstRowLastColumn="0" w:lastRowFirstColumn="0" w:lastRowLastColumn="0"/>
            </w:pPr>
            <w:r>
              <w:t>56.3</w:t>
            </w:r>
          </w:p>
        </w:tc>
        <w:tc>
          <w:tcPr>
            <w:tcW w:w="2280" w:type="dxa"/>
            <w:tcBorders>
              <w:top w:val="single" w:sz="4" w:space="0" w:color="126CB5"/>
              <w:left w:val="single" w:sz="4" w:space="0" w:color="FFFFFF" w:themeColor="background1"/>
              <w:bottom w:val="single" w:sz="4" w:space="0" w:color="FFFFFF" w:themeColor="background1"/>
            </w:tcBorders>
            <w:shd w:val="clear" w:color="auto" w:fill="D9D9D9"/>
            <w:noWrap/>
            <w:vAlign w:val="center"/>
          </w:tcPr>
          <w:p w:rsidR="00ED2B37" w:rsidRDefault="004632C5">
            <w:pPr>
              <w:jc w:val="right"/>
              <w:cnfStyle w:val="000000100000" w:firstRow="0" w:lastRow="0" w:firstColumn="0" w:lastColumn="0" w:oddVBand="0" w:evenVBand="0" w:oddHBand="1" w:evenHBand="0" w:firstRowFirstColumn="0" w:firstRowLastColumn="0" w:lastRowFirstColumn="0" w:lastRowLastColumn="0"/>
            </w:pPr>
            <w:r>
              <w:t>12.5</w:t>
            </w:r>
          </w:p>
        </w:tc>
      </w:tr>
      <w:tr w:rsidR="004161F2" w:rsidTr="004161F2">
        <w:trPr>
          <w:jc w:val="center"/>
        </w:trPr>
        <w:tc>
          <w:tcPr>
            <w:cnfStyle w:val="001000000000" w:firstRow="0" w:lastRow="0" w:firstColumn="1" w:lastColumn="0" w:oddVBand="0" w:evenVBand="0" w:oddHBand="0" w:evenHBand="0" w:firstRowFirstColumn="0" w:firstRowLastColumn="0" w:lastRowFirstColumn="0" w:lastRowLastColumn="0"/>
            <w:tcW w:w="3730" w:type="dxa"/>
            <w:tcBorders>
              <w:top w:val="single" w:sz="4" w:space="0" w:color="FFFFFF" w:themeColor="background1"/>
              <w:bottom w:val="single" w:sz="4" w:space="0" w:color="FFFFFF" w:themeColor="background1"/>
              <w:right w:val="single" w:sz="4" w:space="0" w:color="FFFFFF" w:themeColor="background1"/>
            </w:tcBorders>
            <w:shd w:val="clear" w:color="auto" w:fill="auto"/>
            <w:noWrap/>
            <w:vAlign w:val="center"/>
          </w:tcPr>
          <w:p w:rsidR="00ED2B37" w:rsidRDefault="004632C5">
            <w:pPr>
              <w:spacing w:before="40" w:after="40" w:line="240" w:lineRule="auto"/>
              <w:rPr>
                <w:rFonts w:cs="Times New Roman"/>
                <w:szCs w:val="22"/>
              </w:rPr>
            </w:pPr>
            <w:r>
              <w:rPr>
                <w:rFonts w:cs="Times New Roman"/>
                <w:b w:val="0"/>
                <w:bCs w:val="0"/>
                <w:szCs w:val="22"/>
              </w:rPr>
              <w:t>Numeracy</w:t>
            </w:r>
          </w:p>
        </w:tc>
        <w:tc>
          <w:tcPr>
            <w:tcW w:w="22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center"/>
          </w:tcPr>
          <w:p w:rsidR="00ED2B37" w:rsidRDefault="004632C5">
            <w:pPr>
              <w:jc w:val="right"/>
              <w:cnfStyle w:val="000000000000" w:firstRow="0" w:lastRow="0" w:firstColumn="0" w:lastColumn="0" w:oddVBand="0" w:evenVBand="0" w:oddHBand="0" w:evenHBand="0" w:firstRowFirstColumn="0" w:firstRowLastColumn="0" w:lastRowFirstColumn="0" w:lastRowLastColumn="0"/>
            </w:pPr>
            <w:r>
              <w:t>25.0</w:t>
            </w:r>
          </w:p>
        </w:tc>
        <w:tc>
          <w:tcPr>
            <w:tcW w:w="22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center"/>
          </w:tcPr>
          <w:p w:rsidR="00ED2B37" w:rsidRDefault="004632C5">
            <w:pPr>
              <w:jc w:val="right"/>
              <w:cnfStyle w:val="000000000000" w:firstRow="0" w:lastRow="0" w:firstColumn="0" w:lastColumn="0" w:oddVBand="0" w:evenVBand="0" w:oddHBand="0" w:evenHBand="0" w:firstRowFirstColumn="0" w:firstRowLastColumn="0" w:lastRowFirstColumn="0" w:lastRowLastColumn="0"/>
            </w:pPr>
            <w:r>
              <w:t>31.3</w:t>
            </w:r>
          </w:p>
        </w:tc>
        <w:tc>
          <w:tcPr>
            <w:tcW w:w="2280" w:type="dxa"/>
            <w:tcBorders>
              <w:top w:val="single" w:sz="4" w:space="0" w:color="FFFFFF" w:themeColor="background1"/>
              <w:left w:val="single" w:sz="4" w:space="0" w:color="FFFFFF" w:themeColor="background1"/>
              <w:bottom w:val="single" w:sz="4" w:space="0" w:color="FFFFFF" w:themeColor="background1"/>
            </w:tcBorders>
            <w:shd w:val="clear" w:color="auto" w:fill="auto"/>
            <w:noWrap/>
            <w:vAlign w:val="center"/>
          </w:tcPr>
          <w:p w:rsidR="00ED2B37" w:rsidRDefault="004632C5">
            <w:pPr>
              <w:jc w:val="right"/>
              <w:cnfStyle w:val="000000000000" w:firstRow="0" w:lastRow="0" w:firstColumn="0" w:lastColumn="0" w:oddVBand="0" w:evenVBand="0" w:oddHBand="0" w:evenHBand="0" w:firstRowFirstColumn="0" w:firstRowLastColumn="0" w:lastRowFirstColumn="0" w:lastRowLastColumn="0"/>
            </w:pPr>
            <w:r>
              <w:t>43.8</w:t>
            </w:r>
          </w:p>
        </w:tc>
      </w:tr>
      <w:tr w:rsidR="004161F2" w:rsidTr="004161F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30" w:type="dxa"/>
            <w:tcBorders>
              <w:top w:val="single" w:sz="4" w:space="0" w:color="FFFFFF" w:themeColor="background1"/>
              <w:bottom w:val="single" w:sz="4" w:space="0" w:color="FFFFFF" w:themeColor="background1"/>
              <w:right w:val="single" w:sz="4" w:space="0" w:color="FFFFFF" w:themeColor="background1"/>
            </w:tcBorders>
            <w:shd w:val="clear" w:color="auto" w:fill="DBD9D6"/>
            <w:noWrap/>
            <w:vAlign w:val="center"/>
          </w:tcPr>
          <w:p w:rsidR="00ED2B37" w:rsidRDefault="004632C5">
            <w:pPr>
              <w:spacing w:before="40" w:after="40" w:line="240" w:lineRule="auto"/>
              <w:rPr>
                <w:rFonts w:cs="Times New Roman"/>
                <w:szCs w:val="22"/>
              </w:rPr>
            </w:pPr>
            <w:r>
              <w:rPr>
                <w:rFonts w:cs="Times New Roman"/>
                <w:b w:val="0"/>
                <w:szCs w:val="22"/>
              </w:rPr>
              <w:t>Writing</w:t>
            </w:r>
          </w:p>
        </w:tc>
        <w:tc>
          <w:tcPr>
            <w:tcW w:w="22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D9D6"/>
            <w:noWrap/>
            <w:vAlign w:val="center"/>
          </w:tcPr>
          <w:p w:rsidR="00ED2B37" w:rsidRDefault="004632C5">
            <w:pPr>
              <w:jc w:val="right"/>
              <w:cnfStyle w:val="000000100000" w:firstRow="0" w:lastRow="0" w:firstColumn="0" w:lastColumn="0" w:oddVBand="0" w:evenVBand="0" w:oddHBand="1" w:evenHBand="0" w:firstRowFirstColumn="0" w:firstRowLastColumn="0" w:lastRowFirstColumn="0" w:lastRowLastColumn="0"/>
            </w:pPr>
            <w:r>
              <w:t>33.3</w:t>
            </w:r>
          </w:p>
        </w:tc>
        <w:tc>
          <w:tcPr>
            <w:tcW w:w="22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D9D6"/>
            <w:noWrap/>
            <w:vAlign w:val="center"/>
          </w:tcPr>
          <w:p w:rsidR="00ED2B37" w:rsidRDefault="004632C5">
            <w:pPr>
              <w:jc w:val="right"/>
              <w:cnfStyle w:val="000000100000" w:firstRow="0" w:lastRow="0" w:firstColumn="0" w:lastColumn="0" w:oddVBand="0" w:evenVBand="0" w:oddHBand="1" w:evenHBand="0" w:firstRowFirstColumn="0" w:firstRowLastColumn="0" w:lastRowFirstColumn="0" w:lastRowLastColumn="0"/>
            </w:pPr>
            <w:r>
              <w:t>40.0</w:t>
            </w:r>
          </w:p>
        </w:tc>
        <w:tc>
          <w:tcPr>
            <w:tcW w:w="2280" w:type="dxa"/>
            <w:tcBorders>
              <w:top w:val="single" w:sz="4" w:space="0" w:color="FFFFFF" w:themeColor="background1"/>
              <w:left w:val="single" w:sz="4" w:space="0" w:color="FFFFFF" w:themeColor="background1"/>
              <w:bottom w:val="single" w:sz="4" w:space="0" w:color="FFFFFF" w:themeColor="background1"/>
            </w:tcBorders>
            <w:shd w:val="clear" w:color="auto" w:fill="DBD9D6"/>
            <w:noWrap/>
            <w:vAlign w:val="center"/>
          </w:tcPr>
          <w:p w:rsidR="00ED2B37" w:rsidRDefault="004632C5">
            <w:pPr>
              <w:jc w:val="right"/>
              <w:cnfStyle w:val="000000100000" w:firstRow="0" w:lastRow="0" w:firstColumn="0" w:lastColumn="0" w:oddVBand="0" w:evenVBand="0" w:oddHBand="1" w:evenHBand="0" w:firstRowFirstColumn="0" w:firstRowLastColumn="0" w:lastRowFirstColumn="0" w:lastRowLastColumn="0"/>
            </w:pPr>
            <w:r>
              <w:t>26.7</w:t>
            </w:r>
          </w:p>
        </w:tc>
      </w:tr>
      <w:tr w:rsidR="004161F2" w:rsidTr="004161F2">
        <w:trPr>
          <w:jc w:val="center"/>
        </w:trPr>
        <w:tc>
          <w:tcPr>
            <w:cnfStyle w:val="001000000000" w:firstRow="0" w:lastRow="0" w:firstColumn="1" w:lastColumn="0" w:oddVBand="0" w:evenVBand="0" w:oddHBand="0" w:evenHBand="0" w:firstRowFirstColumn="0" w:firstRowLastColumn="0" w:lastRowFirstColumn="0" w:lastRowLastColumn="0"/>
            <w:tcW w:w="3730" w:type="dxa"/>
            <w:tcBorders>
              <w:top w:val="single" w:sz="4" w:space="0" w:color="FFFFFF" w:themeColor="background1"/>
              <w:bottom w:val="single" w:sz="4" w:space="0" w:color="FFFFFF" w:themeColor="background1"/>
              <w:right w:val="single" w:sz="4" w:space="0" w:color="FFFFFF" w:themeColor="background1"/>
            </w:tcBorders>
            <w:shd w:val="clear" w:color="auto" w:fill="auto"/>
            <w:noWrap/>
            <w:vAlign w:val="center"/>
          </w:tcPr>
          <w:p w:rsidR="00ED2B37" w:rsidRDefault="004632C5">
            <w:pPr>
              <w:spacing w:before="40" w:after="40" w:line="240" w:lineRule="auto"/>
              <w:rPr>
                <w:rFonts w:cs="Times New Roman"/>
                <w:szCs w:val="22"/>
              </w:rPr>
            </w:pPr>
            <w:r>
              <w:rPr>
                <w:rFonts w:cs="Times New Roman"/>
                <w:b w:val="0"/>
                <w:bCs w:val="0"/>
                <w:szCs w:val="22"/>
              </w:rPr>
              <w:t>Spelling</w:t>
            </w:r>
          </w:p>
        </w:tc>
        <w:tc>
          <w:tcPr>
            <w:tcW w:w="22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center"/>
          </w:tcPr>
          <w:p w:rsidR="00ED2B37" w:rsidRDefault="004632C5">
            <w:pPr>
              <w:jc w:val="right"/>
              <w:cnfStyle w:val="000000000000" w:firstRow="0" w:lastRow="0" w:firstColumn="0" w:lastColumn="0" w:oddVBand="0" w:evenVBand="0" w:oddHBand="0" w:evenHBand="0" w:firstRowFirstColumn="0" w:firstRowLastColumn="0" w:lastRowFirstColumn="0" w:lastRowLastColumn="0"/>
            </w:pPr>
            <w:r>
              <w:t>12.5</w:t>
            </w:r>
          </w:p>
        </w:tc>
        <w:tc>
          <w:tcPr>
            <w:tcW w:w="22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center"/>
          </w:tcPr>
          <w:p w:rsidR="00ED2B37" w:rsidRDefault="004632C5">
            <w:pPr>
              <w:jc w:val="right"/>
              <w:cnfStyle w:val="000000000000" w:firstRow="0" w:lastRow="0" w:firstColumn="0" w:lastColumn="0" w:oddVBand="0" w:evenVBand="0" w:oddHBand="0" w:evenHBand="0" w:firstRowFirstColumn="0" w:firstRowLastColumn="0" w:lastRowFirstColumn="0" w:lastRowLastColumn="0"/>
            </w:pPr>
            <w:r>
              <w:t>31.3</w:t>
            </w:r>
          </w:p>
        </w:tc>
        <w:tc>
          <w:tcPr>
            <w:tcW w:w="2280" w:type="dxa"/>
            <w:tcBorders>
              <w:top w:val="single" w:sz="4" w:space="0" w:color="FFFFFF" w:themeColor="background1"/>
              <w:left w:val="single" w:sz="4" w:space="0" w:color="FFFFFF" w:themeColor="background1"/>
              <w:bottom w:val="single" w:sz="4" w:space="0" w:color="FFFFFF" w:themeColor="background1"/>
            </w:tcBorders>
            <w:shd w:val="clear" w:color="auto" w:fill="auto"/>
            <w:noWrap/>
            <w:vAlign w:val="center"/>
          </w:tcPr>
          <w:p w:rsidR="00ED2B37" w:rsidRDefault="004632C5">
            <w:pPr>
              <w:jc w:val="right"/>
              <w:cnfStyle w:val="000000000000" w:firstRow="0" w:lastRow="0" w:firstColumn="0" w:lastColumn="0" w:oddVBand="0" w:evenVBand="0" w:oddHBand="0" w:evenHBand="0" w:firstRowFirstColumn="0" w:firstRowLastColumn="0" w:lastRowFirstColumn="0" w:lastRowLastColumn="0"/>
            </w:pPr>
            <w:r>
              <w:t>56.3</w:t>
            </w:r>
          </w:p>
        </w:tc>
      </w:tr>
      <w:tr w:rsidR="004161F2" w:rsidTr="004161F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30" w:type="dxa"/>
            <w:tcBorders>
              <w:top w:val="single" w:sz="4" w:space="0" w:color="FFFFFF" w:themeColor="background1"/>
              <w:bottom w:val="single" w:sz="4" w:space="0" w:color="106CB5"/>
              <w:right w:val="single" w:sz="4" w:space="0" w:color="FFFFFF" w:themeColor="background1"/>
            </w:tcBorders>
            <w:shd w:val="clear" w:color="auto" w:fill="DBD9D6"/>
            <w:noWrap/>
            <w:vAlign w:val="center"/>
          </w:tcPr>
          <w:p w:rsidR="00ED2B37" w:rsidRDefault="004632C5">
            <w:pPr>
              <w:spacing w:before="40" w:after="40" w:line="240" w:lineRule="auto"/>
              <w:rPr>
                <w:rFonts w:cs="Times New Roman"/>
                <w:szCs w:val="22"/>
              </w:rPr>
            </w:pPr>
            <w:r>
              <w:rPr>
                <w:rFonts w:cs="Times New Roman"/>
                <w:b w:val="0"/>
                <w:szCs w:val="22"/>
              </w:rPr>
              <w:t>Grammar and Punctuation</w:t>
            </w:r>
          </w:p>
        </w:tc>
        <w:tc>
          <w:tcPr>
            <w:tcW w:w="2279" w:type="dxa"/>
            <w:tcBorders>
              <w:top w:val="single" w:sz="4" w:space="0" w:color="FFFFFF" w:themeColor="background1"/>
              <w:left w:val="single" w:sz="4" w:space="0" w:color="FFFFFF" w:themeColor="background1"/>
              <w:bottom w:val="single" w:sz="4" w:space="0" w:color="106CB5"/>
              <w:right w:val="single" w:sz="4" w:space="0" w:color="FFFFFF" w:themeColor="background1"/>
            </w:tcBorders>
            <w:shd w:val="clear" w:color="auto" w:fill="DBD9D6"/>
            <w:noWrap/>
            <w:vAlign w:val="center"/>
          </w:tcPr>
          <w:p w:rsidR="00ED2B37" w:rsidRDefault="004632C5">
            <w:pPr>
              <w:jc w:val="right"/>
              <w:cnfStyle w:val="000000100000" w:firstRow="0" w:lastRow="0" w:firstColumn="0" w:lastColumn="0" w:oddVBand="0" w:evenVBand="0" w:oddHBand="1" w:evenHBand="0" w:firstRowFirstColumn="0" w:firstRowLastColumn="0" w:lastRowFirstColumn="0" w:lastRowLastColumn="0"/>
            </w:pPr>
            <w:r>
              <w:t xml:space="preserve"> 6.3</w:t>
            </w:r>
          </w:p>
        </w:tc>
        <w:tc>
          <w:tcPr>
            <w:tcW w:w="2280" w:type="dxa"/>
            <w:tcBorders>
              <w:top w:val="single" w:sz="4" w:space="0" w:color="FFFFFF" w:themeColor="background1"/>
              <w:left w:val="single" w:sz="4" w:space="0" w:color="FFFFFF" w:themeColor="background1"/>
              <w:bottom w:val="single" w:sz="4" w:space="0" w:color="106CB5"/>
              <w:right w:val="single" w:sz="4" w:space="0" w:color="FFFFFF" w:themeColor="background1"/>
            </w:tcBorders>
            <w:shd w:val="clear" w:color="auto" w:fill="DBD9D6"/>
            <w:noWrap/>
            <w:vAlign w:val="center"/>
          </w:tcPr>
          <w:p w:rsidR="00ED2B37" w:rsidRDefault="004632C5">
            <w:pPr>
              <w:jc w:val="right"/>
              <w:cnfStyle w:val="000000100000" w:firstRow="0" w:lastRow="0" w:firstColumn="0" w:lastColumn="0" w:oddVBand="0" w:evenVBand="0" w:oddHBand="1" w:evenHBand="0" w:firstRowFirstColumn="0" w:firstRowLastColumn="0" w:lastRowFirstColumn="0" w:lastRowLastColumn="0"/>
            </w:pPr>
            <w:r>
              <w:t>56.3</w:t>
            </w:r>
          </w:p>
        </w:tc>
        <w:tc>
          <w:tcPr>
            <w:tcW w:w="2280" w:type="dxa"/>
            <w:tcBorders>
              <w:top w:val="single" w:sz="4" w:space="0" w:color="FFFFFF" w:themeColor="background1"/>
              <w:left w:val="single" w:sz="4" w:space="0" w:color="FFFFFF" w:themeColor="background1"/>
              <w:bottom w:val="single" w:sz="4" w:space="0" w:color="106CB5"/>
            </w:tcBorders>
            <w:shd w:val="clear" w:color="auto" w:fill="DBD9D6"/>
            <w:noWrap/>
            <w:vAlign w:val="center"/>
          </w:tcPr>
          <w:p w:rsidR="00ED2B37" w:rsidRDefault="004632C5">
            <w:pPr>
              <w:jc w:val="right"/>
              <w:cnfStyle w:val="000000100000" w:firstRow="0" w:lastRow="0" w:firstColumn="0" w:lastColumn="0" w:oddVBand="0" w:evenVBand="0" w:oddHBand="1" w:evenHBand="0" w:firstRowFirstColumn="0" w:firstRowLastColumn="0" w:lastRowFirstColumn="0" w:lastRowLastColumn="0"/>
            </w:pPr>
            <w:r>
              <w:t>37.5</w:t>
            </w:r>
          </w:p>
        </w:tc>
      </w:tr>
    </w:tbl>
    <w:p w:rsidR="00ED2B37" w:rsidRDefault="004632C5">
      <w:pPr>
        <w:pStyle w:val="ESHeading2"/>
        <w:rPr>
          <w:color w:val="00008B"/>
          <w:u w:val="single"/>
        </w:rPr>
      </w:pPr>
      <w:r>
        <w:rPr>
          <w:color w:val="00008B"/>
          <w:u w:val="single"/>
        </w:rPr>
        <w:t>engagement</w:t>
      </w:r>
    </w:p>
    <w:p w:rsidR="00ED2B37" w:rsidRDefault="004632C5">
      <w:pPr>
        <w:pStyle w:val="ESBodyText"/>
        <w:rPr>
          <w:rFonts w:eastAsiaTheme="majorEastAsia" w:cstheme="majorBidi"/>
          <w:b/>
          <w:bCs/>
          <w:color w:val="00008B"/>
          <w:szCs w:val="20"/>
        </w:rPr>
      </w:pPr>
      <w:r>
        <w:rPr>
          <w:rFonts w:eastAsiaTheme="majorEastAsia" w:cstheme="majorBidi"/>
          <w:b/>
          <w:bCs/>
          <w:color w:val="00008B"/>
          <w:szCs w:val="20"/>
        </w:rPr>
        <w:t>Average Number of Student Absence Days</w:t>
      </w:r>
    </w:p>
    <w:p w:rsidR="00ED2B37" w:rsidRDefault="004632C5">
      <w:pPr>
        <w:pStyle w:val="ESBodyText"/>
      </w:pPr>
      <w:r>
        <w:t xml:space="preserve">Absence from school can impact on students’ learning. </w:t>
      </w:r>
      <w:r>
        <w:t xml:space="preserve"> </w:t>
      </w:r>
      <w:r>
        <w:t>A Similar School Comparison rating of ‘Above’</w:t>
      </w:r>
      <w:r>
        <w:t xml:space="preserve"> indicates this school records less absences than expected, relative to the similar schools group with similar characteristics.  A rating of ‘Below’ indicates this school records more absences than expected.</w:t>
      </w:r>
    </w:p>
    <w:p w:rsidR="00ED2B37" w:rsidRDefault="004632C5">
      <w:pPr>
        <w:pStyle w:val="ESBodyText"/>
      </w:pPr>
      <w:r>
        <w:t>Common reasons for non-attendance include illnes</w:t>
      </w:r>
      <w:r>
        <w:t>s and extended family holidays.</w:t>
      </w:r>
    </w:p>
    <w:tbl>
      <w:tblPr>
        <w:tblStyle w:val="GridTable2-Accent61"/>
        <w:tblW w:w="4850" w:type="pct"/>
        <w:jc w:val="center"/>
        <w:tblLayout w:type="fixed"/>
        <w:tblLook w:val="04A0" w:firstRow="1" w:lastRow="0" w:firstColumn="1" w:lastColumn="0" w:noHBand="0" w:noVBand="1"/>
        <w:tblCaption w:val="Average number of student absence days"/>
      </w:tblPr>
      <w:tblGrid>
        <w:gridCol w:w="4529"/>
        <w:gridCol w:w="1147"/>
        <w:gridCol w:w="1149"/>
        <w:gridCol w:w="1147"/>
        <w:gridCol w:w="1149"/>
        <w:gridCol w:w="1322"/>
      </w:tblGrid>
      <w:tr w:rsidR="004161F2" w:rsidTr="004161F2">
        <w:trPr>
          <w:cnfStyle w:val="100000000000" w:firstRow="1" w:lastRow="0" w:firstColumn="0" w:lastColumn="0" w:oddVBand="0" w:evenVBand="0" w:oddHBand="0" w:evenHBand="0" w:firstRowFirstColumn="0" w:firstRowLastColumn="0" w:lastRowFirstColumn="0" w:lastRowLastColumn="0"/>
          <w:trHeight w:val="632"/>
          <w:tblHeader/>
          <w:jc w:val="center"/>
        </w:trPr>
        <w:tc>
          <w:tcPr>
            <w:cnfStyle w:val="001000000000" w:firstRow="0" w:lastRow="0" w:firstColumn="1" w:lastColumn="0" w:oddVBand="0" w:evenVBand="0" w:oddHBand="0" w:evenHBand="0" w:firstRowFirstColumn="0" w:firstRowLastColumn="0" w:lastRowFirstColumn="0" w:lastRowLastColumn="0"/>
            <w:tcW w:w="2169" w:type="pct"/>
            <w:tcBorders>
              <w:bottom w:val="single" w:sz="12" w:space="0" w:color="FFFFFF"/>
            </w:tcBorders>
            <w:shd w:val="clear" w:color="auto" w:fill="106CB5"/>
            <w:vAlign w:val="center"/>
            <w:hideMark/>
          </w:tcPr>
          <w:p w:rsidR="00ED2B37" w:rsidRDefault="004632C5">
            <w:pPr>
              <w:spacing w:before="40" w:after="40" w:line="240" w:lineRule="auto"/>
              <w:rPr>
                <w:rFonts w:cs="Times New Roman"/>
                <w:color w:val="FFFFFF"/>
                <w:szCs w:val="22"/>
              </w:rPr>
            </w:pPr>
            <w:r>
              <w:rPr>
                <w:rFonts w:cs="Times New Roman"/>
                <w:color w:val="FFFFFF"/>
                <w:szCs w:val="22"/>
              </w:rPr>
              <w:t>Average number of absence days</w:t>
            </w:r>
          </w:p>
        </w:tc>
        <w:tc>
          <w:tcPr>
            <w:tcW w:w="549" w:type="pct"/>
            <w:tcBorders>
              <w:bottom w:val="single" w:sz="12" w:space="0" w:color="FFFFFF"/>
            </w:tcBorders>
            <w:shd w:val="clear" w:color="auto" w:fill="106CB5"/>
            <w:vAlign w:val="center"/>
            <w:hideMark/>
          </w:tcPr>
          <w:p w:rsidR="00ED2B37" w:rsidRDefault="004632C5">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color w:val="FFFFFF"/>
                <w:szCs w:val="22"/>
              </w:rPr>
              <w:t>School</w:t>
            </w:r>
          </w:p>
        </w:tc>
        <w:tc>
          <w:tcPr>
            <w:tcW w:w="550" w:type="pct"/>
            <w:tcBorders>
              <w:bottom w:val="single" w:sz="12" w:space="0" w:color="FFFFFF"/>
            </w:tcBorders>
            <w:shd w:val="clear" w:color="auto" w:fill="106CB5"/>
            <w:vAlign w:val="center"/>
            <w:hideMark/>
          </w:tcPr>
          <w:p w:rsidR="00ED2B37" w:rsidRDefault="004632C5">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color w:val="FFFFFF"/>
                <w:szCs w:val="22"/>
              </w:rPr>
              <w:t>State Median</w:t>
            </w:r>
          </w:p>
        </w:tc>
        <w:tc>
          <w:tcPr>
            <w:tcW w:w="549" w:type="pct"/>
            <w:tcBorders>
              <w:bottom w:val="single" w:sz="12" w:space="0" w:color="FFFFFF"/>
            </w:tcBorders>
            <w:shd w:val="clear" w:color="auto" w:fill="106CB5"/>
            <w:vAlign w:val="center"/>
          </w:tcPr>
          <w:p w:rsidR="00ED2B37" w:rsidRDefault="004632C5">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Middle 60 percent low</w:t>
            </w:r>
          </w:p>
        </w:tc>
        <w:tc>
          <w:tcPr>
            <w:tcW w:w="550" w:type="pct"/>
            <w:tcBorders>
              <w:bottom w:val="single" w:sz="12" w:space="0" w:color="FFFFFF"/>
            </w:tcBorders>
            <w:shd w:val="clear" w:color="auto" w:fill="106CB5"/>
            <w:vAlign w:val="center"/>
            <w:hideMark/>
          </w:tcPr>
          <w:p w:rsidR="00ED2B37" w:rsidRDefault="004632C5">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Middle 60 percent high</w:t>
            </w:r>
          </w:p>
        </w:tc>
        <w:tc>
          <w:tcPr>
            <w:tcW w:w="633" w:type="pct"/>
            <w:tcBorders>
              <w:bottom w:val="single" w:sz="12" w:space="0" w:color="FFFFFF"/>
            </w:tcBorders>
            <w:shd w:val="clear" w:color="auto" w:fill="106CB5"/>
            <w:vAlign w:val="center"/>
          </w:tcPr>
          <w:p w:rsidR="00ED2B37" w:rsidRDefault="004632C5">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Similar School Comparison</w:t>
            </w:r>
          </w:p>
        </w:tc>
      </w:tr>
      <w:tr w:rsidR="004161F2" w:rsidTr="004161F2">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2169" w:type="pct"/>
            <w:tcBorders>
              <w:top w:val="single" w:sz="12" w:space="0" w:color="FFFFFF"/>
              <w:bottom w:val="single" w:sz="2" w:space="0" w:color="106CB5"/>
            </w:tcBorders>
            <w:shd w:val="clear" w:color="auto" w:fill="FFFFFF"/>
            <w:noWrap/>
            <w:vAlign w:val="center"/>
          </w:tcPr>
          <w:p w:rsidR="00ED2B37" w:rsidRDefault="004632C5">
            <w:pPr>
              <w:spacing w:before="40" w:after="40" w:line="240" w:lineRule="auto"/>
              <w:rPr>
                <w:rFonts w:cs="Times New Roman"/>
                <w:szCs w:val="22"/>
              </w:rPr>
            </w:pPr>
          </w:p>
        </w:tc>
        <w:tc>
          <w:tcPr>
            <w:tcW w:w="549" w:type="pct"/>
            <w:tcBorders>
              <w:top w:val="single" w:sz="12" w:space="0" w:color="FFFFFF"/>
              <w:bottom w:val="single" w:sz="2" w:space="0" w:color="106CB5"/>
            </w:tcBorders>
            <w:shd w:val="clear" w:color="auto" w:fill="FFFFFF"/>
            <w:noWrap/>
            <w:vAlign w:val="center"/>
          </w:tcPr>
          <w:p w:rsidR="00ED2B37" w:rsidRDefault="004632C5">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Number</w:t>
            </w:r>
          </w:p>
        </w:tc>
        <w:tc>
          <w:tcPr>
            <w:tcW w:w="550" w:type="pct"/>
            <w:tcBorders>
              <w:top w:val="single" w:sz="12" w:space="0" w:color="FFFFFF"/>
              <w:bottom w:val="single" w:sz="2" w:space="0" w:color="106CB5"/>
            </w:tcBorders>
            <w:shd w:val="clear" w:color="auto" w:fill="FFFFFF"/>
            <w:noWrap/>
            <w:vAlign w:val="center"/>
          </w:tcPr>
          <w:p w:rsidR="00ED2B37" w:rsidRDefault="004632C5">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Number</w:t>
            </w:r>
          </w:p>
        </w:tc>
        <w:tc>
          <w:tcPr>
            <w:tcW w:w="549" w:type="pct"/>
            <w:tcBorders>
              <w:top w:val="single" w:sz="12" w:space="0" w:color="FFFFFF"/>
              <w:bottom w:val="single" w:sz="2" w:space="0" w:color="106CB5"/>
            </w:tcBorders>
            <w:shd w:val="clear" w:color="auto" w:fill="FFFFFF"/>
          </w:tcPr>
          <w:p w:rsidR="00ED2B37" w:rsidRDefault="004632C5">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Number</w:t>
            </w:r>
          </w:p>
        </w:tc>
        <w:tc>
          <w:tcPr>
            <w:tcW w:w="550" w:type="pct"/>
            <w:tcBorders>
              <w:top w:val="single" w:sz="12" w:space="0" w:color="FFFFFF"/>
              <w:bottom w:val="single" w:sz="2" w:space="0" w:color="106CB5"/>
            </w:tcBorders>
            <w:shd w:val="clear" w:color="auto" w:fill="FFFFFF"/>
            <w:noWrap/>
            <w:vAlign w:val="center"/>
          </w:tcPr>
          <w:p w:rsidR="00ED2B37" w:rsidRDefault="004632C5">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Number</w:t>
            </w:r>
          </w:p>
        </w:tc>
        <w:tc>
          <w:tcPr>
            <w:tcW w:w="633" w:type="pct"/>
            <w:tcBorders>
              <w:top w:val="single" w:sz="12" w:space="0" w:color="FFFFFF"/>
              <w:bottom w:val="single" w:sz="2" w:space="0" w:color="106CB5"/>
            </w:tcBorders>
            <w:shd w:val="clear" w:color="auto" w:fill="FFFFFF"/>
          </w:tcPr>
          <w:p w:rsidR="00ED2B37" w:rsidRDefault="004632C5">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p>
        </w:tc>
      </w:tr>
      <w:tr w:rsidR="004161F2" w:rsidTr="004161F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69" w:type="pct"/>
            <w:tcBorders>
              <w:top w:val="single" w:sz="2" w:space="0" w:color="106CB5"/>
              <w:bottom w:val="single" w:sz="2" w:space="0" w:color="106CB5"/>
            </w:tcBorders>
            <w:shd w:val="clear" w:color="auto" w:fill="D9D9D9"/>
            <w:noWrap/>
            <w:vAlign w:val="center"/>
          </w:tcPr>
          <w:p w:rsidR="00ED2B37" w:rsidRDefault="004632C5">
            <w:pPr>
              <w:spacing w:before="40" w:after="40" w:line="240" w:lineRule="auto"/>
              <w:rPr>
                <w:rFonts w:cs="Times New Roman"/>
                <w:szCs w:val="22"/>
              </w:rPr>
            </w:pPr>
            <w:r>
              <w:rPr>
                <w:rFonts w:cs="Times New Roman"/>
                <w:szCs w:val="22"/>
              </w:rPr>
              <w:t>Average number of absence days (latest year)</w:t>
            </w:r>
          </w:p>
        </w:tc>
        <w:tc>
          <w:tcPr>
            <w:tcW w:w="549" w:type="pct"/>
            <w:tcBorders>
              <w:top w:val="single" w:sz="2" w:space="0" w:color="106CB5"/>
              <w:bottom w:val="single" w:sz="2" w:space="0" w:color="106CB5"/>
            </w:tcBorders>
            <w:shd w:val="clear" w:color="auto" w:fill="D9D9D9"/>
            <w:noWrap/>
            <w:vAlign w:val="center"/>
          </w:tcPr>
          <w:p w:rsidR="00ED2B37" w:rsidRDefault="004632C5">
            <w:pPr>
              <w:jc w:val="right"/>
              <w:cnfStyle w:val="000000100000" w:firstRow="0" w:lastRow="0" w:firstColumn="0" w:lastColumn="0" w:oddVBand="0" w:evenVBand="0" w:oddHBand="1" w:evenHBand="0" w:firstRowFirstColumn="0" w:firstRowLastColumn="0" w:lastRowFirstColumn="0" w:lastRowLastColumn="0"/>
            </w:pPr>
            <w:r>
              <w:t>20.0</w:t>
            </w:r>
          </w:p>
        </w:tc>
        <w:tc>
          <w:tcPr>
            <w:tcW w:w="550" w:type="pct"/>
            <w:tcBorders>
              <w:top w:val="single" w:sz="2" w:space="0" w:color="106CB5"/>
              <w:bottom w:val="single" w:sz="2" w:space="0" w:color="106CB5"/>
            </w:tcBorders>
            <w:shd w:val="clear" w:color="auto" w:fill="D9D9D9"/>
            <w:noWrap/>
            <w:vAlign w:val="center"/>
          </w:tcPr>
          <w:p w:rsidR="00ED2B37" w:rsidRDefault="004632C5">
            <w:pPr>
              <w:jc w:val="right"/>
              <w:cnfStyle w:val="000000100000" w:firstRow="0" w:lastRow="0" w:firstColumn="0" w:lastColumn="0" w:oddVBand="0" w:evenVBand="0" w:oddHBand="1" w:evenHBand="0" w:firstRowFirstColumn="0" w:firstRowLastColumn="0" w:lastRowFirstColumn="0" w:lastRowLastColumn="0"/>
            </w:pPr>
            <w:r>
              <w:t>16.3</w:t>
            </w:r>
          </w:p>
        </w:tc>
        <w:tc>
          <w:tcPr>
            <w:tcW w:w="549" w:type="pct"/>
            <w:tcBorders>
              <w:top w:val="single" w:sz="2" w:space="0" w:color="106CB5"/>
              <w:bottom w:val="single" w:sz="2" w:space="0" w:color="106CB5"/>
            </w:tcBorders>
            <w:shd w:val="clear" w:color="auto" w:fill="D9D9D9"/>
            <w:vAlign w:val="center"/>
          </w:tcPr>
          <w:p w:rsidR="00ED2B37" w:rsidRDefault="004632C5">
            <w:pPr>
              <w:jc w:val="right"/>
              <w:cnfStyle w:val="000000100000" w:firstRow="0" w:lastRow="0" w:firstColumn="0" w:lastColumn="0" w:oddVBand="0" w:evenVBand="0" w:oddHBand="1" w:evenHBand="0" w:firstRowFirstColumn="0" w:firstRowLastColumn="0" w:lastRowFirstColumn="0" w:lastRowLastColumn="0"/>
            </w:pPr>
            <w:r>
              <w:t>13.9</w:t>
            </w:r>
          </w:p>
        </w:tc>
        <w:tc>
          <w:tcPr>
            <w:tcW w:w="550" w:type="pct"/>
            <w:tcBorders>
              <w:top w:val="single" w:sz="2" w:space="0" w:color="106CB5"/>
              <w:bottom w:val="single" w:sz="2" w:space="0" w:color="106CB5"/>
            </w:tcBorders>
            <w:shd w:val="clear" w:color="auto" w:fill="D9D9D9"/>
            <w:noWrap/>
            <w:vAlign w:val="center"/>
          </w:tcPr>
          <w:p w:rsidR="00ED2B37" w:rsidRDefault="004632C5">
            <w:pPr>
              <w:jc w:val="right"/>
              <w:cnfStyle w:val="000000100000" w:firstRow="0" w:lastRow="0" w:firstColumn="0" w:lastColumn="0" w:oddVBand="0" w:evenVBand="0" w:oddHBand="1" w:evenHBand="0" w:firstRowFirstColumn="0" w:firstRowLastColumn="0" w:lastRowFirstColumn="0" w:lastRowLastColumn="0"/>
            </w:pPr>
            <w:r>
              <w:t>19.4</w:t>
            </w:r>
          </w:p>
        </w:tc>
        <w:tc>
          <w:tcPr>
            <w:tcW w:w="633" w:type="pct"/>
            <w:tcBorders>
              <w:top w:val="single" w:sz="2" w:space="0" w:color="106CB5"/>
              <w:bottom w:val="single" w:sz="2" w:space="0" w:color="106CB5"/>
            </w:tcBorders>
            <w:shd w:val="clear" w:color="auto" w:fill="D9D9D9"/>
            <w:vAlign w:val="center"/>
          </w:tcPr>
          <w:p w:rsidR="00ED2B37" w:rsidRDefault="004632C5">
            <w:pPr>
              <w:jc w:val="right"/>
              <w:cnfStyle w:val="000000100000" w:firstRow="0" w:lastRow="0" w:firstColumn="0" w:lastColumn="0" w:oddVBand="0" w:evenVBand="0" w:oddHBand="1" w:evenHBand="0" w:firstRowFirstColumn="0" w:firstRowLastColumn="0" w:lastRowFirstColumn="0" w:lastRowLastColumn="0"/>
            </w:pPr>
            <w:r>
              <w:t>Below</w:t>
            </w:r>
          </w:p>
        </w:tc>
      </w:tr>
      <w:tr w:rsidR="004161F2" w:rsidTr="004161F2">
        <w:trPr>
          <w:jc w:val="center"/>
        </w:trPr>
        <w:tc>
          <w:tcPr>
            <w:cnfStyle w:val="001000000000" w:firstRow="0" w:lastRow="0" w:firstColumn="1" w:lastColumn="0" w:oddVBand="0" w:evenVBand="0" w:oddHBand="0" w:evenHBand="0" w:firstRowFirstColumn="0" w:firstRowLastColumn="0" w:lastRowFirstColumn="0" w:lastRowLastColumn="0"/>
            <w:tcW w:w="2169" w:type="pct"/>
            <w:tcBorders>
              <w:top w:val="single" w:sz="2" w:space="0" w:color="106CB5"/>
              <w:bottom w:val="single" w:sz="2" w:space="0" w:color="106CB5"/>
            </w:tcBorders>
            <w:shd w:val="clear" w:color="auto" w:fill="auto"/>
            <w:noWrap/>
            <w:vAlign w:val="center"/>
            <w:hideMark/>
          </w:tcPr>
          <w:p w:rsidR="00ED2B37" w:rsidRDefault="004632C5">
            <w:pPr>
              <w:spacing w:before="40" w:after="40" w:line="240" w:lineRule="auto"/>
              <w:rPr>
                <w:rFonts w:cs="Times New Roman"/>
                <w:szCs w:val="22"/>
              </w:rPr>
            </w:pPr>
            <w:r>
              <w:rPr>
                <w:rFonts w:cs="Times New Roman"/>
                <w:szCs w:val="22"/>
              </w:rPr>
              <w:t>Average number of absence days (4 year average)</w:t>
            </w:r>
          </w:p>
        </w:tc>
        <w:tc>
          <w:tcPr>
            <w:tcW w:w="549" w:type="pct"/>
            <w:tcBorders>
              <w:top w:val="single" w:sz="2" w:space="0" w:color="106CB5"/>
              <w:bottom w:val="single" w:sz="2" w:space="0" w:color="106CB5"/>
            </w:tcBorders>
            <w:shd w:val="clear" w:color="auto" w:fill="auto"/>
            <w:noWrap/>
            <w:vAlign w:val="center"/>
          </w:tcPr>
          <w:p w:rsidR="00ED2B37" w:rsidRDefault="004632C5">
            <w:pPr>
              <w:jc w:val="right"/>
              <w:cnfStyle w:val="000000000000" w:firstRow="0" w:lastRow="0" w:firstColumn="0" w:lastColumn="0" w:oddVBand="0" w:evenVBand="0" w:oddHBand="0" w:evenHBand="0" w:firstRowFirstColumn="0" w:firstRowLastColumn="0" w:lastRowFirstColumn="0" w:lastRowLastColumn="0"/>
            </w:pPr>
            <w:r>
              <w:t>17.8</w:t>
            </w:r>
          </w:p>
        </w:tc>
        <w:tc>
          <w:tcPr>
            <w:tcW w:w="550" w:type="pct"/>
            <w:tcBorders>
              <w:top w:val="single" w:sz="2" w:space="0" w:color="106CB5"/>
              <w:bottom w:val="single" w:sz="2" w:space="0" w:color="106CB5"/>
            </w:tcBorders>
            <w:shd w:val="clear" w:color="auto" w:fill="auto"/>
            <w:noWrap/>
            <w:vAlign w:val="center"/>
          </w:tcPr>
          <w:p w:rsidR="00ED2B37" w:rsidRDefault="004632C5">
            <w:pPr>
              <w:jc w:val="right"/>
              <w:cnfStyle w:val="000000000000" w:firstRow="0" w:lastRow="0" w:firstColumn="0" w:lastColumn="0" w:oddVBand="0" w:evenVBand="0" w:oddHBand="0" w:evenHBand="0" w:firstRowFirstColumn="0" w:firstRowLastColumn="0" w:lastRowFirstColumn="0" w:lastRowLastColumn="0"/>
            </w:pPr>
            <w:r>
              <w:t>15.5</w:t>
            </w:r>
          </w:p>
        </w:tc>
        <w:tc>
          <w:tcPr>
            <w:tcW w:w="549" w:type="pct"/>
            <w:tcBorders>
              <w:top w:val="single" w:sz="2" w:space="0" w:color="106CB5"/>
              <w:bottom w:val="single" w:sz="2" w:space="0" w:color="106CB5"/>
            </w:tcBorders>
            <w:shd w:val="clear" w:color="auto" w:fill="auto"/>
            <w:vAlign w:val="center"/>
          </w:tcPr>
          <w:p w:rsidR="00ED2B37" w:rsidRDefault="004632C5">
            <w:pPr>
              <w:jc w:val="right"/>
              <w:cnfStyle w:val="000000000000" w:firstRow="0" w:lastRow="0" w:firstColumn="0" w:lastColumn="0" w:oddVBand="0" w:evenVBand="0" w:oddHBand="0" w:evenHBand="0" w:firstRowFirstColumn="0" w:firstRowLastColumn="0" w:lastRowFirstColumn="0" w:lastRowLastColumn="0"/>
            </w:pPr>
            <w:r>
              <w:t>13.5</w:t>
            </w:r>
          </w:p>
        </w:tc>
        <w:tc>
          <w:tcPr>
            <w:tcW w:w="550" w:type="pct"/>
            <w:tcBorders>
              <w:top w:val="single" w:sz="2" w:space="0" w:color="106CB5"/>
              <w:bottom w:val="single" w:sz="2" w:space="0" w:color="106CB5"/>
            </w:tcBorders>
            <w:shd w:val="clear" w:color="auto" w:fill="auto"/>
            <w:noWrap/>
            <w:vAlign w:val="center"/>
          </w:tcPr>
          <w:p w:rsidR="00ED2B37" w:rsidRDefault="004632C5">
            <w:pPr>
              <w:jc w:val="right"/>
              <w:cnfStyle w:val="000000000000" w:firstRow="0" w:lastRow="0" w:firstColumn="0" w:lastColumn="0" w:oddVBand="0" w:evenVBand="0" w:oddHBand="0" w:evenHBand="0" w:firstRowFirstColumn="0" w:firstRowLastColumn="0" w:lastRowFirstColumn="0" w:lastRowLastColumn="0"/>
            </w:pPr>
            <w:r>
              <w:t>18.2</w:t>
            </w:r>
          </w:p>
        </w:tc>
        <w:tc>
          <w:tcPr>
            <w:tcW w:w="633" w:type="pct"/>
            <w:tcBorders>
              <w:top w:val="single" w:sz="2" w:space="0" w:color="106CB5"/>
              <w:bottom w:val="single" w:sz="2" w:space="0" w:color="106CB5"/>
            </w:tcBorders>
            <w:vAlign w:val="center"/>
          </w:tcPr>
          <w:p w:rsidR="00ED2B37" w:rsidRDefault="004632C5">
            <w:pPr>
              <w:jc w:val="right"/>
              <w:cnfStyle w:val="000000000000" w:firstRow="0" w:lastRow="0" w:firstColumn="0" w:lastColumn="0" w:oddVBand="0" w:evenVBand="0" w:oddHBand="0" w:evenHBand="0" w:firstRowFirstColumn="0" w:firstRowLastColumn="0" w:lastRowFirstColumn="0" w:lastRowLastColumn="0"/>
            </w:pPr>
            <w:r>
              <w:t>-</w:t>
            </w:r>
          </w:p>
        </w:tc>
      </w:tr>
    </w:tbl>
    <w:p w:rsidR="00ED2B37" w:rsidRDefault="004632C5" w:rsidP="007C1025">
      <w:pPr>
        <w:pStyle w:val="ESBodyText"/>
        <w:spacing w:after="0"/>
        <w:rPr>
          <w:rFonts w:eastAsiaTheme="majorEastAsia" w:cstheme="majorBidi"/>
          <w:b/>
          <w:bCs/>
          <w:color w:val="AF272F"/>
          <w:szCs w:val="20"/>
        </w:rPr>
      </w:pPr>
    </w:p>
    <w:p w:rsidR="00ED2B37" w:rsidRDefault="004632C5">
      <w:pPr>
        <w:pStyle w:val="ESBodyText"/>
        <w:rPr>
          <w:rFonts w:eastAsiaTheme="majorEastAsia" w:cstheme="majorBidi"/>
          <w:b/>
          <w:bCs/>
          <w:color w:val="00008B"/>
          <w:szCs w:val="20"/>
        </w:rPr>
      </w:pPr>
      <w:r>
        <w:rPr>
          <w:rFonts w:eastAsiaTheme="majorEastAsia" w:cstheme="majorBidi"/>
          <w:b/>
          <w:bCs/>
          <w:color w:val="00008B"/>
          <w:szCs w:val="20"/>
        </w:rPr>
        <w:t>Attendance Rate</w:t>
      </w:r>
    </w:p>
    <w:p w:rsidR="00ED2B37" w:rsidRDefault="004632C5">
      <w:pPr>
        <w:pStyle w:val="ESBodyText"/>
      </w:pPr>
      <w:r>
        <w:t>Average 2019 attendance rate by year level:</w:t>
      </w:r>
    </w:p>
    <w:tbl>
      <w:tblPr>
        <w:tblStyle w:val="GridTable2-Accent61"/>
        <w:tblW w:w="4838" w:type="pct"/>
        <w:jc w:val="center"/>
        <w:tblLook w:val="04A0" w:firstRow="1" w:lastRow="0" w:firstColumn="1" w:lastColumn="0" w:noHBand="0" w:noVBand="1"/>
        <w:tblCaption w:val="Attendance rate"/>
      </w:tblPr>
      <w:tblGrid>
        <w:gridCol w:w="3155"/>
        <w:gridCol w:w="1038"/>
        <w:gridCol w:w="1038"/>
        <w:gridCol w:w="1038"/>
        <w:gridCol w:w="1040"/>
        <w:gridCol w:w="1035"/>
        <w:gridCol w:w="1035"/>
        <w:gridCol w:w="1038"/>
      </w:tblGrid>
      <w:tr w:rsidR="004161F2" w:rsidTr="004161F2">
        <w:trPr>
          <w:cnfStyle w:val="100000000000" w:firstRow="1" w:lastRow="0" w:firstColumn="0" w:lastColumn="0" w:oddVBand="0" w:evenVBand="0" w:oddHBand="0" w:evenHBand="0" w:firstRowFirstColumn="0" w:firstRowLastColumn="0" w:lastRowFirstColumn="0" w:lastRowLastColumn="0"/>
          <w:trHeight w:val="501"/>
          <w:tblHeader/>
          <w:jc w:val="center"/>
        </w:trPr>
        <w:tc>
          <w:tcPr>
            <w:cnfStyle w:val="001000000000" w:firstRow="0" w:lastRow="0" w:firstColumn="1" w:lastColumn="0" w:oddVBand="0" w:evenVBand="0" w:oddHBand="0" w:evenHBand="0" w:firstRowFirstColumn="0" w:firstRowLastColumn="0" w:lastRowFirstColumn="0" w:lastRowLastColumn="0"/>
            <w:tcW w:w="1515" w:type="pct"/>
            <w:tcBorders>
              <w:bottom w:val="single" w:sz="12" w:space="0" w:color="FFFFFF"/>
            </w:tcBorders>
            <w:shd w:val="clear" w:color="auto" w:fill="106CB5"/>
            <w:vAlign w:val="center"/>
            <w:hideMark/>
          </w:tcPr>
          <w:p w:rsidR="00ED2B37" w:rsidRDefault="004632C5">
            <w:pPr>
              <w:spacing w:before="40" w:after="40" w:line="240" w:lineRule="auto"/>
              <w:jc w:val="right"/>
              <w:rPr>
                <w:rFonts w:cs="Times New Roman"/>
                <w:color w:val="FFFFFF"/>
                <w:szCs w:val="22"/>
              </w:rPr>
            </w:pPr>
            <w:r>
              <w:rPr>
                <w:rFonts w:cs="Times New Roman"/>
                <w:color w:val="FFFFFF"/>
                <w:szCs w:val="22"/>
              </w:rPr>
              <w:t>Year Level</w:t>
            </w:r>
          </w:p>
        </w:tc>
        <w:tc>
          <w:tcPr>
            <w:tcW w:w="498" w:type="pct"/>
            <w:tcBorders>
              <w:bottom w:val="single" w:sz="12" w:space="0" w:color="FFFFFF"/>
            </w:tcBorders>
            <w:shd w:val="clear" w:color="auto" w:fill="106CB5"/>
            <w:vAlign w:val="center"/>
            <w:hideMark/>
          </w:tcPr>
          <w:p w:rsidR="00ED2B37" w:rsidRDefault="004632C5">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color w:val="FFFFFF"/>
                <w:szCs w:val="22"/>
              </w:rPr>
              <w:t>Prep</w:t>
            </w:r>
          </w:p>
        </w:tc>
        <w:tc>
          <w:tcPr>
            <w:tcW w:w="498" w:type="pct"/>
            <w:tcBorders>
              <w:bottom w:val="single" w:sz="12" w:space="0" w:color="FFFFFF"/>
            </w:tcBorders>
            <w:shd w:val="clear" w:color="auto" w:fill="106CB5"/>
            <w:vAlign w:val="center"/>
            <w:hideMark/>
          </w:tcPr>
          <w:p w:rsidR="00ED2B37" w:rsidRDefault="004632C5">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color w:val="FFFFFF"/>
                <w:szCs w:val="22"/>
              </w:rPr>
              <w:t>Year 1</w:t>
            </w:r>
          </w:p>
        </w:tc>
        <w:tc>
          <w:tcPr>
            <w:tcW w:w="498" w:type="pct"/>
            <w:tcBorders>
              <w:bottom w:val="single" w:sz="12" w:space="0" w:color="FFFFFF"/>
            </w:tcBorders>
            <w:shd w:val="clear" w:color="auto" w:fill="106CB5"/>
            <w:vAlign w:val="center"/>
          </w:tcPr>
          <w:p w:rsidR="00ED2B37" w:rsidRDefault="004632C5">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Year 2</w:t>
            </w:r>
          </w:p>
        </w:tc>
        <w:tc>
          <w:tcPr>
            <w:tcW w:w="499" w:type="pct"/>
            <w:tcBorders>
              <w:bottom w:val="single" w:sz="12" w:space="0" w:color="FFFFFF"/>
            </w:tcBorders>
            <w:shd w:val="clear" w:color="auto" w:fill="106CB5"/>
            <w:vAlign w:val="center"/>
          </w:tcPr>
          <w:p w:rsidR="00ED2B37" w:rsidRDefault="004632C5">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color w:val="FFFFFF"/>
                <w:szCs w:val="22"/>
              </w:rPr>
              <w:t>Year 3</w:t>
            </w:r>
          </w:p>
        </w:tc>
        <w:tc>
          <w:tcPr>
            <w:tcW w:w="497" w:type="pct"/>
            <w:tcBorders>
              <w:bottom w:val="single" w:sz="12" w:space="0" w:color="FFFFFF"/>
            </w:tcBorders>
            <w:shd w:val="clear" w:color="auto" w:fill="106CB5"/>
            <w:vAlign w:val="center"/>
          </w:tcPr>
          <w:p w:rsidR="00ED2B37" w:rsidRDefault="004632C5">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Year 4</w:t>
            </w:r>
          </w:p>
        </w:tc>
        <w:tc>
          <w:tcPr>
            <w:tcW w:w="497" w:type="pct"/>
            <w:tcBorders>
              <w:bottom w:val="single" w:sz="12" w:space="0" w:color="FFFFFF"/>
            </w:tcBorders>
            <w:shd w:val="clear" w:color="auto" w:fill="106CB5"/>
            <w:vAlign w:val="center"/>
          </w:tcPr>
          <w:p w:rsidR="00ED2B37" w:rsidRDefault="004632C5">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Year 5</w:t>
            </w:r>
          </w:p>
        </w:tc>
        <w:tc>
          <w:tcPr>
            <w:tcW w:w="498" w:type="pct"/>
            <w:tcBorders>
              <w:bottom w:val="single" w:sz="12" w:space="0" w:color="FFFFFF"/>
            </w:tcBorders>
            <w:shd w:val="clear" w:color="auto" w:fill="106CB5"/>
            <w:vAlign w:val="center"/>
          </w:tcPr>
          <w:p w:rsidR="00ED2B37" w:rsidRDefault="004632C5">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Year 6</w:t>
            </w:r>
          </w:p>
        </w:tc>
      </w:tr>
      <w:tr w:rsidR="004161F2" w:rsidTr="004161F2">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515" w:type="pct"/>
            <w:tcBorders>
              <w:top w:val="single" w:sz="12" w:space="0" w:color="FFFFFF"/>
              <w:bottom w:val="single" w:sz="2" w:space="0" w:color="106CB5"/>
            </w:tcBorders>
            <w:shd w:val="clear" w:color="auto" w:fill="FFFFFF"/>
            <w:noWrap/>
            <w:vAlign w:val="center"/>
          </w:tcPr>
          <w:p w:rsidR="00ED2B37" w:rsidRDefault="004632C5">
            <w:pPr>
              <w:spacing w:before="40" w:after="40" w:line="240" w:lineRule="auto"/>
              <w:rPr>
                <w:rFonts w:cs="Times New Roman"/>
                <w:szCs w:val="22"/>
              </w:rPr>
            </w:pPr>
          </w:p>
        </w:tc>
        <w:tc>
          <w:tcPr>
            <w:tcW w:w="498" w:type="pct"/>
            <w:tcBorders>
              <w:top w:val="single" w:sz="12" w:space="0" w:color="FFFFFF"/>
              <w:bottom w:val="single" w:sz="2" w:space="0" w:color="106CB5"/>
            </w:tcBorders>
            <w:shd w:val="clear" w:color="auto" w:fill="FFFFFF"/>
            <w:noWrap/>
            <w:vAlign w:val="center"/>
          </w:tcPr>
          <w:p w:rsidR="00ED2B37" w:rsidRDefault="004632C5">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498" w:type="pct"/>
            <w:tcBorders>
              <w:top w:val="single" w:sz="12" w:space="0" w:color="FFFFFF"/>
              <w:bottom w:val="single" w:sz="2" w:space="0" w:color="106CB5"/>
            </w:tcBorders>
            <w:shd w:val="clear" w:color="auto" w:fill="FFFFFF"/>
            <w:noWrap/>
            <w:vAlign w:val="center"/>
          </w:tcPr>
          <w:p w:rsidR="00ED2B37" w:rsidRDefault="004632C5">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498" w:type="pct"/>
            <w:tcBorders>
              <w:top w:val="single" w:sz="12" w:space="0" w:color="FFFFFF"/>
              <w:bottom w:val="single" w:sz="2" w:space="0" w:color="106CB5"/>
            </w:tcBorders>
            <w:shd w:val="clear" w:color="auto" w:fill="FFFFFF"/>
            <w:vAlign w:val="center"/>
          </w:tcPr>
          <w:p w:rsidR="00ED2B37" w:rsidRDefault="004632C5">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499" w:type="pct"/>
            <w:tcBorders>
              <w:top w:val="single" w:sz="12" w:space="0" w:color="FFFFFF"/>
              <w:bottom w:val="single" w:sz="2" w:space="0" w:color="106CB5"/>
            </w:tcBorders>
            <w:shd w:val="clear" w:color="auto" w:fill="FFFFFF"/>
            <w:noWrap/>
            <w:vAlign w:val="center"/>
          </w:tcPr>
          <w:p w:rsidR="00ED2B37" w:rsidRDefault="004632C5">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497" w:type="pct"/>
            <w:tcBorders>
              <w:top w:val="single" w:sz="12" w:space="0" w:color="FFFFFF"/>
              <w:bottom w:val="single" w:sz="2" w:space="0" w:color="106CB5"/>
            </w:tcBorders>
            <w:shd w:val="clear" w:color="auto" w:fill="FFFFFF"/>
            <w:vAlign w:val="center"/>
          </w:tcPr>
          <w:p w:rsidR="00ED2B37" w:rsidRDefault="004632C5">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497" w:type="pct"/>
            <w:tcBorders>
              <w:top w:val="single" w:sz="12" w:space="0" w:color="FFFFFF"/>
              <w:bottom w:val="single" w:sz="2" w:space="0" w:color="106CB5"/>
            </w:tcBorders>
            <w:shd w:val="clear" w:color="auto" w:fill="FFFFFF"/>
            <w:vAlign w:val="center"/>
          </w:tcPr>
          <w:p w:rsidR="00ED2B37" w:rsidRDefault="004632C5">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498" w:type="pct"/>
            <w:tcBorders>
              <w:top w:val="single" w:sz="12" w:space="0" w:color="FFFFFF"/>
              <w:bottom w:val="single" w:sz="2" w:space="0" w:color="106CB5"/>
            </w:tcBorders>
            <w:shd w:val="clear" w:color="auto" w:fill="FFFFFF"/>
            <w:vAlign w:val="center"/>
          </w:tcPr>
          <w:p w:rsidR="00ED2B37" w:rsidRDefault="004632C5">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r>
      <w:tr w:rsidR="004161F2" w:rsidTr="004161F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15" w:type="pct"/>
            <w:tcBorders>
              <w:top w:val="single" w:sz="2" w:space="0" w:color="106CB5"/>
              <w:bottom w:val="single" w:sz="2" w:space="0" w:color="106CB5"/>
            </w:tcBorders>
            <w:shd w:val="clear" w:color="auto" w:fill="D9D9D9"/>
            <w:noWrap/>
            <w:vAlign w:val="center"/>
          </w:tcPr>
          <w:p w:rsidR="00ED2B37" w:rsidRDefault="004632C5">
            <w:pPr>
              <w:spacing w:before="40" w:after="40" w:line="240" w:lineRule="auto"/>
              <w:rPr>
                <w:rFonts w:cs="Times New Roman"/>
                <w:szCs w:val="22"/>
              </w:rPr>
            </w:pPr>
            <w:r>
              <w:rPr>
                <w:rFonts w:cs="Times New Roman"/>
                <w:szCs w:val="22"/>
              </w:rPr>
              <w:t>Attendance Rate (latest year)</w:t>
            </w:r>
          </w:p>
        </w:tc>
        <w:tc>
          <w:tcPr>
            <w:tcW w:w="498" w:type="pct"/>
            <w:tcBorders>
              <w:top w:val="single" w:sz="2" w:space="0" w:color="106CB5"/>
              <w:bottom w:val="single" w:sz="2" w:space="0" w:color="106CB5"/>
            </w:tcBorders>
            <w:shd w:val="clear" w:color="auto" w:fill="D9D9D9"/>
            <w:noWrap/>
            <w:vAlign w:val="center"/>
          </w:tcPr>
          <w:p w:rsidR="00ED2B37" w:rsidRDefault="004632C5">
            <w:pPr>
              <w:jc w:val="right"/>
              <w:cnfStyle w:val="000000100000" w:firstRow="0" w:lastRow="0" w:firstColumn="0" w:lastColumn="0" w:oddVBand="0" w:evenVBand="0" w:oddHBand="1" w:evenHBand="0" w:firstRowFirstColumn="0" w:firstRowLastColumn="0" w:lastRowFirstColumn="0" w:lastRowLastColumn="0"/>
            </w:pPr>
            <w:r>
              <w:t>87</w:t>
            </w:r>
          </w:p>
        </w:tc>
        <w:tc>
          <w:tcPr>
            <w:tcW w:w="498" w:type="pct"/>
            <w:tcBorders>
              <w:top w:val="single" w:sz="2" w:space="0" w:color="106CB5"/>
              <w:bottom w:val="single" w:sz="2" w:space="0" w:color="106CB5"/>
            </w:tcBorders>
            <w:shd w:val="clear" w:color="auto" w:fill="D9D9D9"/>
            <w:noWrap/>
            <w:vAlign w:val="center"/>
          </w:tcPr>
          <w:p w:rsidR="00ED2B37" w:rsidRDefault="004632C5">
            <w:pPr>
              <w:jc w:val="right"/>
              <w:cnfStyle w:val="000000100000" w:firstRow="0" w:lastRow="0" w:firstColumn="0" w:lastColumn="0" w:oddVBand="0" w:evenVBand="0" w:oddHBand="1" w:evenHBand="0" w:firstRowFirstColumn="0" w:firstRowLastColumn="0" w:lastRowFirstColumn="0" w:lastRowLastColumn="0"/>
            </w:pPr>
            <w:r>
              <w:t>94</w:t>
            </w:r>
          </w:p>
        </w:tc>
        <w:tc>
          <w:tcPr>
            <w:tcW w:w="498" w:type="pct"/>
            <w:tcBorders>
              <w:top w:val="single" w:sz="2" w:space="0" w:color="106CB5"/>
              <w:bottom w:val="single" w:sz="2" w:space="0" w:color="106CB5"/>
            </w:tcBorders>
            <w:shd w:val="clear" w:color="auto" w:fill="D9D9D9"/>
            <w:vAlign w:val="center"/>
          </w:tcPr>
          <w:p w:rsidR="00ED2B37" w:rsidRDefault="004632C5">
            <w:pPr>
              <w:jc w:val="right"/>
              <w:cnfStyle w:val="000000100000" w:firstRow="0" w:lastRow="0" w:firstColumn="0" w:lastColumn="0" w:oddVBand="0" w:evenVBand="0" w:oddHBand="1" w:evenHBand="0" w:firstRowFirstColumn="0" w:firstRowLastColumn="0" w:lastRowFirstColumn="0" w:lastRowLastColumn="0"/>
            </w:pPr>
            <w:r>
              <w:t>93</w:t>
            </w:r>
          </w:p>
        </w:tc>
        <w:tc>
          <w:tcPr>
            <w:tcW w:w="499" w:type="pct"/>
            <w:tcBorders>
              <w:top w:val="single" w:sz="2" w:space="0" w:color="106CB5"/>
              <w:bottom w:val="single" w:sz="2" w:space="0" w:color="106CB5"/>
            </w:tcBorders>
            <w:shd w:val="clear" w:color="auto" w:fill="D9D9D9"/>
            <w:noWrap/>
            <w:vAlign w:val="center"/>
          </w:tcPr>
          <w:p w:rsidR="00ED2B37" w:rsidRDefault="004632C5">
            <w:pPr>
              <w:jc w:val="right"/>
              <w:cnfStyle w:val="000000100000" w:firstRow="0" w:lastRow="0" w:firstColumn="0" w:lastColumn="0" w:oddVBand="0" w:evenVBand="0" w:oddHBand="1" w:evenHBand="0" w:firstRowFirstColumn="0" w:firstRowLastColumn="0" w:lastRowFirstColumn="0" w:lastRowLastColumn="0"/>
            </w:pPr>
            <w:r>
              <w:t>86</w:t>
            </w:r>
          </w:p>
        </w:tc>
        <w:tc>
          <w:tcPr>
            <w:tcW w:w="497" w:type="pct"/>
            <w:tcBorders>
              <w:top w:val="single" w:sz="2" w:space="0" w:color="106CB5"/>
              <w:bottom w:val="single" w:sz="2" w:space="0" w:color="106CB5"/>
            </w:tcBorders>
            <w:shd w:val="clear" w:color="auto" w:fill="D9D9D9"/>
            <w:vAlign w:val="center"/>
          </w:tcPr>
          <w:p w:rsidR="00ED2B37" w:rsidRDefault="004632C5">
            <w:pPr>
              <w:jc w:val="right"/>
              <w:cnfStyle w:val="000000100000" w:firstRow="0" w:lastRow="0" w:firstColumn="0" w:lastColumn="0" w:oddVBand="0" w:evenVBand="0" w:oddHBand="1" w:evenHBand="0" w:firstRowFirstColumn="0" w:firstRowLastColumn="0" w:lastRowFirstColumn="0" w:lastRowLastColumn="0"/>
            </w:pPr>
            <w:r>
              <w:t>90</w:t>
            </w:r>
          </w:p>
        </w:tc>
        <w:tc>
          <w:tcPr>
            <w:tcW w:w="497" w:type="pct"/>
            <w:tcBorders>
              <w:top w:val="single" w:sz="2" w:space="0" w:color="106CB5"/>
              <w:bottom w:val="single" w:sz="2" w:space="0" w:color="106CB5"/>
            </w:tcBorders>
            <w:shd w:val="clear" w:color="auto" w:fill="D9D9D9"/>
            <w:vAlign w:val="center"/>
          </w:tcPr>
          <w:p w:rsidR="00ED2B37" w:rsidRDefault="004632C5">
            <w:pPr>
              <w:jc w:val="right"/>
              <w:cnfStyle w:val="000000100000" w:firstRow="0" w:lastRow="0" w:firstColumn="0" w:lastColumn="0" w:oddVBand="0" w:evenVBand="0" w:oddHBand="1" w:evenHBand="0" w:firstRowFirstColumn="0" w:firstRowLastColumn="0" w:lastRowFirstColumn="0" w:lastRowLastColumn="0"/>
            </w:pPr>
            <w:r>
              <w:t>92</w:t>
            </w:r>
          </w:p>
        </w:tc>
        <w:tc>
          <w:tcPr>
            <w:tcW w:w="498" w:type="pct"/>
            <w:tcBorders>
              <w:top w:val="single" w:sz="2" w:space="0" w:color="106CB5"/>
              <w:bottom w:val="single" w:sz="2" w:space="0" w:color="106CB5"/>
            </w:tcBorders>
            <w:shd w:val="clear" w:color="auto" w:fill="D9D9D9"/>
            <w:vAlign w:val="center"/>
          </w:tcPr>
          <w:p w:rsidR="00ED2B37" w:rsidRDefault="004632C5">
            <w:pPr>
              <w:jc w:val="right"/>
              <w:cnfStyle w:val="000000100000" w:firstRow="0" w:lastRow="0" w:firstColumn="0" w:lastColumn="0" w:oddVBand="0" w:evenVBand="0" w:oddHBand="1" w:evenHBand="0" w:firstRowFirstColumn="0" w:firstRowLastColumn="0" w:lastRowFirstColumn="0" w:lastRowLastColumn="0"/>
            </w:pPr>
            <w:r>
              <w:t>87</w:t>
            </w:r>
          </w:p>
        </w:tc>
      </w:tr>
    </w:tbl>
    <w:p w:rsidR="00ED2B37" w:rsidRDefault="004632C5" w:rsidP="007C1025">
      <w:pPr>
        <w:pStyle w:val="ESBodyText"/>
        <w:spacing w:after="0" w:line="240" w:lineRule="auto"/>
      </w:pPr>
    </w:p>
    <w:p w:rsidR="00BB2F16" w:rsidRDefault="004632C5">
      <w:pPr>
        <w:spacing w:after="0" w:line="240" w:lineRule="auto"/>
        <w:rPr>
          <w:rFonts w:eastAsiaTheme="majorEastAsia" w:cstheme="majorBidi"/>
          <w:b/>
          <w:bCs/>
          <w:caps/>
          <w:color w:val="00008B"/>
          <w:sz w:val="20"/>
          <w:szCs w:val="20"/>
          <w:u w:val="single"/>
        </w:rPr>
      </w:pPr>
      <w:r>
        <w:rPr>
          <w:color w:val="00008B"/>
          <w:u w:val="single"/>
        </w:rPr>
        <w:br w:type="page"/>
      </w:r>
    </w:p>
    <w:p w:rsidR="00BB2F16" w:rsidRDefault="004632C5" w:rsidP="007C1025">
      <w:pPr>
        <w:pStyle w:val="ESHeading2"/>
        <w:spacing w:before="120"/>
        <w:rPr>
          <w:color w:val="00008B"/>
          <w:u w:val="single"/>
        </w:rPr>
      </w:pPr>
    </w:p>
    <w:p w:rsidR="00ED2B37" w:rsidRDefault="004632C5" w:rsidP="007C1025">
      <w:pPr>
        <w:pStyle w:val="ESHeading2"/>
        <w:spacing w:before="120"/>
        <w:rPr>
          <w:color w:val="00008B"/>
          <w:u w:val="single"/>
        </w:rPr>
      </w:pPr>
      <w:r>
        <w:rPr>
          <w:color w:val="00008B"/>
          <w:u w:val="single"/>
        </w:rPr>
        <w:t>WELLbeing</w:t>
      </w:r>
    </w:p>
    <w:p w:rsidR="00ED2B37" w:rsidRDefault="004632C5">
      <w:pPr>
        <w:pStyle w:val="ESBodyText"/>
        <w:rPr>
          <w:rFonts w:eastAsiaTheme="majorEastAsia" w:cstheme="majorBidi"/>
          <w:b/>
          <w:bCs/>
          <w:color w:val="00008B"/>
          <w:szCs w:val="20"/>
        </w:rPr>
      </w:pPr>
      <w:r>
        <w:rPr>
          <w:rFonts w:eastAsiaTheme="majorEastAsia" w:cstheme="majorBidi"/>
          <w:b/>
          <w:bCs/>
          <w:color w:val="00008B"/>
          <w:szCs w:val="20"/>
        </w:rPr>
        <w:t>Student Attitudes to School – Sense of Connectedness</w:t>
      </w:r>
    </w:p>
    <w:p w:rsidR="00ED2B37" w:rsidRDefault="004632C5">
      <w:pPr>
        <w:pStyle w:val="ESBodyText"/>
      </w:pPr>
      <w:r>
        <w:t xml:space="preserve">The percent endorsement on Sense of Connectedness factor, as reported in the Attitudes to School Survey completed annually by Victorian </w:t>
      </w:r>
      <w:r>
        <w:t>Government school students in year levels 4 to 6.</w:t>
      </w:r>
    </w:p>
    <w:p w:rsidR="00ED2B37" w:rsidRDefault="004632C5">
      <w:pPr>
        <w:pStyle w:val="ESBodyText"/>
      </w:pPr>
      <w:r>
        <w:t>Percent endorsement indicates the percent of positive responses (agree or strongly agree).</w:t>
      </w:r>
    </w:p>
    <w:tbl>
      <w:tblPr>
        <w:tblStyle w:val="GridTable2-Accent61"/>
        <w:tblW w:w="4843" w:type="pct"/>
        <w:jc w:val="center"/>
        <w:tblLook w:val="04A0" w:firstRow="1" w:lastRow="0" w:firstColumn="1" w:lastColumn="0" w:noHBand="0" w:noVBand="1"/>
        <w:tblCaption w:val="Attitude to schools survey - connectedness to schools"/>
      </w:tblPr>
      <w:tblGrid>
        <w:gridCol w:w="3816"/>
        <w:gridCol w:w="1307"/>
        <w:gridCol w:w="1308"/>
        <w:gridCol w:w="1308"/>
        <w:gridCol w:w="1383"/>
        <w:gridCol w:w="1306"/>
      </w:tblGrid>
      <w:tr w:rsidR="004161F2" w:rsidTr="004161F2">
        <w:trPr>
          <w:cnfStyle w:val="100000000000" w:firstRow="1" w:lastRow="0" w:firstColumn="0" w:lastColumn="0" w:oddVBand="0" w:evenVBand="0" w:oddHBand="0" w:evenHBand="0" w:firstRowFirstColumn="0" w:firstRowLastColumn="0" w:lastRowFirstColumn="0" w:lastRowLastColumn="0"/>
          <w:trHeight w:val="706"/>
          <w:tblHeader/>
          <w:jc w:val="center"/>
        </w:trPr>
        <w:tc>
          <w:tcPr>
            <w:cnfStyle w:val="001000000000" w:firstRow="0" w:lastRow="0" w:firstColumn="1" w:lastColumn="0" w:oddVBand="0" w:evenVBand="0" w:oddHBand="0" w:evenHBand="0" w:firstRowFirstColumn="0" w:firstRowLastColumn="0" w:lastRowFirstColumn="0" w:lastRowLastColumn="0"/>
            <w:tcW w:w="1830" w:type="pct"/>
            <w:tcBorders>
              <w:bottom w:val="single" w:sz="12" w:space="0" w:color="FFFFFF"/>
            </w:tcBorders>
            <w:shd w:val="clear" w:color="auto" w:fill="106CB5"/>
            <w:vAlign w:val="center"/>
            <w:hideMark/>
          </w:tcPr>
          <w:p w:rsidR="00ED2B37" w:rsidRDefault="004632C5">
            <w:pPr>
              <w:spacing w:before="40" w:after="40" w:line="240" w:lineRule="auto"/>
              <w:rPr>
                <w:rFonts w:cs="Times New Roman"/>
                <w:color w:val="FFFFFF"/>
                <w:szCs w:val="22"/>
              </w:rPr>
            </w:pPr>
            <w:r>
              <w:t xml:space="preserve"> </w:t>
            </w:r>
            <w:r>
              <w:rPr>
                <w:rFonts w:cs="Times New Roman"/>
                <w:color w:val="FFFFFF"/>
                <w:szCs w:val="22"/>
              </w:rPr>
              <w:t>Sense of Connectedness</w:t>
            </w:r>
          </w:p>
        </w:tc>
        <w:tc>
          <w:tcPr>
            <w:tcW w:w="627" w:type="pct"/>
            <w:tcBorders>
              <w:bottom w:val="single" w:sz="12" w:space="0" w:color="FFFFFF"/>
            </w:tcBorders>
            <w:shd w:val="clear" w:color="auto" w:fill="106CB5"/>
            <w:vAlign w:val="center"/>
            <w:hideMark/>
          </w:tcPr>
          <w:p w:rsidR="00ED2B37" w:rsidRDefault="004632C5">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color w:val="FFFFFF"/>
                <w:szCs w:val="22"/>
              </w:rPr>
              <w:t>School</w:t>
            </w:r>
          </w:p>
        </w:tc>
        <w:tc>
          <w:tcPr>
            <w:tcW w:w="627" w:type="pct"/>
            <w:tcBorders>
              <w:bottom w:val="single" w:sz="12" w:space="0" w:color="FFFFFF"/>
            </w:tcBorders>
            <w:shd w:val="clear" w:color="auto" w:fill="106CB5"/>
            <w:vAlign w:val="center"/>
            <w:hideMark/>
          </w:tcPr>
          <w:p w:rsidR="00ED2B37" w:rsidRDefault="004632C5">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color w:val="FFFFFF"/>
                <w:szCs w:val="22"/>
              </w:rPr>
              <w:t>State Median</w:t>
            </w:r>
          </w:p>
        </w:tc>
        <w:tc>
          <w:tcPr>
            <w:tcW w:w="627" w:type="pct"/>
            <w:tcBorders>
              <w:bottom w:val="single" w:sz="12" w:space="0" w:color="FFFFFF"/>
            </w:tcBorders>
            <w:shd w:val="clear" w:color="auto" w:fill="106CB5"/>
            <w:vAlign w:val="center"/>
          </w:tcPr>
          <w:p w:rsidR="00ED2B37" w:rsidRDefault="004632C5">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Middle 60 percent low</w:t>
            </w:r>
          </w:p>
        </w:tc>
        <w:tc>
          <w:tcPr>
            <w:tcW w:w="663" w:type="pct"/>
            <w:tcBorders>
              <w:bottom w:val="single" w:sz="12" w:space="0" w:color="FFFFFF"/>
            </w:tcBorders>
            <w:shd w:val="clear" w:color="auto" w:fill="106CB5"/>
            <w:vAlign w:val="center"/>
            <w:hideMark/>
          </w:tcPr>
          <w:p w:rsidR="00ED2B37" w:rsidRDefault="004632C5">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Middle 60 percent high</w:t>
            </w:r>
          </w:p>
        </w:tc>
        <w:tc>
          <w:tcPr>
            <w:tcW w:w="626" w:type="pct"/>
            <w:tcBorders>
              <w:bottom w:val="single" w:sz="12" w:space="0" w:color="FFFFFF"/>
            </w:tcBorders>
            <w:shd w:val="clear" w:color="auto" w:fill="106CB5"/>
            <w:vAlign w:val="center"/>
          </w:tcPr>
          <w:p w:rsidR="00ED2B37" w:rsidRDefault="004632C5">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Similar School Comparison</w:t>
            </w:r>
          </w:p>
        </w:tc>
      </w:tr>
      <w:tr w:rsidR="004161F2" w:rsidTr="004161F2">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830" w:type="pct"/>
            <w:tcBorders>
              <w:top w:val="single" w:sz="12" w:space="0" w:color="FFFFFF"/>
              <w:bottom w:val="single" w:sz="2" w:space="0" w:color="106CB5"/>
            </w:tcBorders>
            <w:shd w:val="clear" w:color="auto" w:fill="FFFFFF"/>
            <w:noWrap/>
            <w:vAlign w:val="center"/>
          </w:tcPr>
          <w:p w:rsidR="00ED2B37" w:rsidRDefault="004632C5">
            <w:pPr>
              <w:spacing w:before="40" w:after="40" w:line="240" w:lineRule="auto"/>
              <w:rPr>
                <w:rFonts w:cs="Times New Roman"/>
                <w:szCs w:val="22"/>
              </w:rPr>
            </w:pPr>
          </w:p>
        </w:tc>
        <w:tc>
          <w:tcPr>
            <w:tcW w:w="627" w:type="pct"/>
            <w:tcBorders>
              <w:top w:val="single" w:sz="12" w:space="0" w:color="FFFFFF"/>
              <w:bottom w:val="single" w:sz="2" w:space="0" w:color="106CB5"/>
            </w:tcBorders>
            <w:shd w:val="clear" w:color="auto" w:fill="FFFFFF"/>
            <w:noWrap/>
            <w:vAlign w:val="center"/>
          </w:tcPr>
          <w:p w:rsidR="00ED2B37" w:rsidRDefault="004632C5">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627" w:type="pct"/>
            <w:tcBorders>
              <w:top w:val="single" w:sz="12" w:space="0" w:color="FFFFFF"/>
              <w:bottom w:val="single" w:sz="2" w:space="0" w:color="106CB5"/>
            </w:tcBorders>
            <w:shd w:val="clear" w:color="auto" w:fill="FFFFFF"/>
            <w:noWrap/>
            <w:vAlign w:val="center"/>
          </w:tcPr>
          <w:p w:rsidR="00ED2B37" w:rsidRDefault="004632C5">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627" w:type="pct"/>
            <w:tcBorders>
              <w:top w:val="single" w:sz="12" w:space="0" w:color="FFFFFF"/>
              <w:bottom w:val="single" w:sz="2" w:space="0" w:color="106CB5"/>
            </w:tcBorders>
            <w:shd w:val="clear" w:color="auto" w:fill="FFFFFF"/>
          </w:tcPr>
          <w:p w:rsidR="00ED2B37" w:rsidRDefault="004632C5">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663" w:type="pct"/>
            <w:tcBorders>
              <w:top w:val="single" w:sz="12" w:space="0" w:color="FFFFFF"/>
              <w:bottom w:val="single" w:sz="2" w:space="0" w:color="106CB5"/>
            </w:tcBorders>
            <w:shd w:val="clear" w:color="auto" w:fill="FFFFFF"/>
            <w:noWrap/>
            <w:vAlign w:val="center"/>
          </w:tcPr>
          <w:p w:rsidR="00ED2B37" w:rsidRDefault="004632C5">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626" w:type="pct"/>
            <w:tcBorders>
              <w:top w:val="single" w:sz="12" w:space="0" w:color="FFFFFF"/>
              <w:bottom w:val="single" w:sz="2" w:space="0" w:color="106CB5"/>
            </w:tcBorders>
            <w:shd w:val="clear" w:color="auto" w:fill="FFFFFF"/>
          </w:tcPr>
          <w:p w:rsidR="00ED2B37" w:rsidRDefault="004632C5">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p>
        </w:tc>
      </w:tr>
      <w:tr w:rsidR="004161F2" w:rsidTr="004161F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30" w:type="pct"/>
            <w:tcBorders>
              <w:top w:val="single" w:sz="2" w:space="0" w:color="106CB5"/>
              <w:bottom w:val="single" w:sz="2" w:space="0" w:color="126CB5"/>
            </w:tcBorders>
            <w:shd w:val="clear" w:color="auto" w:fill="D9D9D9" w:themeFill="background1" w:themeFillShade="D9"/>
            <w:noWrap/>
            <w:vAlign w:val="center"/>
          </w:tcPr>
          <w:p w:rsidR="00ED2B37" w:rsidRDefault="004632C5">
            <w:pPr>
              <w:spacing w:before="40" w:after="40" w:line="240" w:lineRule="auto"/>
              <w:rPr>
                <w:rFonts w:cs="Times New Roman"/>
                <w:szCs w:val="22"/>
              </w:rPr>
            </w:pPr>
            <w:r>
              <w:rPr>
                <w:rFonts w:cs="Times New Roman"/>
                <w:szCs w:val="22"/>
              </w:rPr>
              <w:t>Percent endorsement (latest year)</w:t>
            </w:r>
          </w:p>
        </w:tc>
        <w:tc>
          <w:tcPr>
            <w:tcW w:w="627" w:type="pct"/>
            <w:tcBorders>
              <w:top w:val="single" w:sz="2" w:space="0" w:color="106CB5"/>
              <w:bottom w:val="single" w:sz="2" w:space="0" w:color="126CB5"/>
            </w:tcBorders>
            <w:shd w:val="clear" w:color="auto" w:fill="D9D9D9" w:themeFill="background1" w:themeFillShade="D9"/>
            <w:noWrap/>
            <w:vAlign w:val="center"/>
          </w:tcPr>
          <w:p w:rsidR="00ED2B37" w:rsidRDefault="004632C5">
            <w:pPr>
              <w:jc w:val="right"/>
              <w:cnfStyle w:val="000000100000" w:firstRow="0" w:lastRow="0" w:firstColumn="0" w:lastColumn="0" w:oddVBand="0" w:evenVBand="0" w:oddHBand="1" w:evenHBand="0" w:firstRowFirstColumn="0" w:firstRowLastColumn="0" w:lastRowFirstColumn="0" w:lastRowLastColumn="0"/>
            </w:pPr>
            <w:r>
              <w:t xml:space="preserve"> 81.5</w:t>
            </w:r>
          </w:p>
        </w:tc>
        <w:tc>
          <w:tcPr>
            <w:tcW w:w="627" w:type="pct"/>
            <w:tcBorders>
              <w:top w:val="single" w:sz="2" w:space="0" w:color="106CB5"/>
              <w:bottom w:val="single" w:sz="2" w:space="0" w:color="126CB5"/>
            </w:tcBorders>
            <w:shd w:val="clear" w:color="auto" w:fill="D9D9D9" w:themeFill="background1" w:themeFillShade="D9"/>
            <w:noWrap/>
            <w:vAlign w:val="center"/>
          </w:tcPr>
          <w:p w:rsidR="00ED2B37" w:rsidRDefault="004632C5">
            <w:pPr>
              <w:jc w:val="right"/>
              <w:cnfStyle w:val="000000100000" w:firstRow="0" w:lastRow="0" w:firstColumn="0" w:lastColumn="0" w:oddVBand="0" w:evenVBand="0" w:oddHBand="1" w:evenHBand="0" w:firstRowFirstColumn="0" w:firstRowLastColumn="0" w:lastRowFirstColumn="0" w:lastRowLastColumn="0"/>
            </w:pPr>
            <w:r>
              <w:t xml:space="preserve"> 80.9</w:t>
            </w:r>
          </w:p>
        </w:tc>
        <w:tc>
          <w:tcPr>
            <w:tcW w:w="627" w:type="pct"/>
            <w:tcBorders>
              <w:top w:val="single" w:sz="2" w:space="0" w:color="106CB5"/>
              <w:bottom w:val="single" w:sz="2" w:space="0" w:color="126CB5"/>
            </w:tcBorders>
            <w:shd w:val="clear" w:color="auto" w:fill="D9D9D9" w:themeFill="background1" w:themeFillShade="D9"/>
            <w:vAlign w:val="center"/>
          </w:tcPr>
          <w:p w:rsidR="00ED2B37" w:rsidRDefault="004632C5">
            <w:pPr>
              <w:jc w:val="right"/>
              <w:cnfStyle w:val="000000100000" w:firstRow="0" w:lastRow="0" w:firstColumn="0" w:lastColumn="0" w:oddVBand="0" w:evenVBand="0" w:oddHBand="1" w:evenHBand="0" w:firstRowFirstColumn="0" w:firstRowLastColumn="0" w:lastRowFirstColumn="0" w:lastRowLastColumn="0"/>
            </w:pPr>
            <w:r>
              <w:t xml:space="preserve"> 71.8</w:t>
            </w:r>
          </w:p>
        </w:tc>
        <w:tc>
          <w:tcPr>
            <w:tcW w:w="663" w:type="pct"/>
            <w:tcBorders>
              <w:top w:val="single" w:sz="2" w:space="0" w:color="106CB5"/>
              <w:bottom w:val="single" w:sz="2" w:space="0" w:color="126CB5"/>
            </w:tcBorders>
            <w:shd w:val="clear" w:color="auto" w:fill="D9D9D9" w:themeFill="background1" w:themeFillShade="D9"/>
            <w:noWrap/>
            <w:vAlign w:val="center"/>
          </w:tcPr>
          <w:p w:rsidR="00ED2B37" w:rsidRDefault="004632C5">
            <w:pPr>
              <w:jc w:val="right"/>
              <w:cnfStyle w:val="000000100000" w:firstRow="0" w:lastRow="0" w:firstColumn="0" w:lastColumn="0" w:oddVBand="0" w:evenVBand="0" w:oddHBand="1" w:evenHBand="0" w:firstRowFirstColumn="0" w:firstRowLastColumn="0" w:lastRowFirstColumn="0" w:lastRowLastColumn="0"/>
            </w:pPr>
            <w:r>
              <w:t xml:space="preserve"> 88.9</w:t>
            </w:r>
          </w:p>
        </w:tc>
        <w:tc>
          <w:tcPr>
            <w:tcW w:w="626" w:type="pct"/>
            <w:tcBorders>
              <w:top w:val="single" w:sz="2" w:space="0" w:color="106CB5"/>
              <w:bottom w:val="single" w:sz="2" w:space="0" w:color="126CB5"/>
            </w:tcBorders>
            <w:shd w:val="clear" w:color="auto" w:fill="D9D9D9" w:themeFill="background1" w:themeFillShade="D9"/>
            <w:vAlign w:val="center"/>
          </w:tcPr>
          <w:p w:rsidR="00ED2B37" w:rsidRDefault="004632C5">
            <w:pPr>
              <w:jc w:val="right"/>
              <w:cnfStyle w:val="000000100000" w:firstRow="0" w:lastRow="0" w:firstColumn="0" w:lastColumn="0" w:oddVBand="0" w:evenVBand="0" w:oddHBand="1" w:evenHBand="0" w:firstRowFirstColumn="0" w:firstRowLastColumn="0" w:lastRowFirstColumn="0" w:lastRowLastColumn="0"/>
            </w:pPr>
            <w:r>
              <w:t>Similar</w:t>
            </w:r>
          </w:p>
        </w:tc>
      </w:tr>
      <w:tr w:rsidR="004161F2" w:rsidTr="004161F2">
        <w:trPr>
          <w:jc w:val="center"/>
        </w:trPr>
        <w:tc>
          <w:tcPr>
            <w:cnfStyle w:val="001000000000" w:firstRow="0" w:lastRow="0" w:firstColumn="1" w:lastColumn="0" w:oddVBand="0" w:evenVBand="0" w:oddHBand="0" w:evenHBand="0" w:firstRowFirstColumn="0" w:firstRowLastColumn="0" w:lastRowFirstColumn="0" w:lastRowLastColumn="0"/>
            <w:tcW w:w="1830" w:type="pct"/>
            <w:tcBorders>
              <w:top w:val="single" w:sz="2" w:space="0" w:color="126CB5"/>
              <w:bottom w:val="single" w:sz="2" w:space="0" w:color="106CB5"/>
            </w:tcBorders>
            <w:shd w:val="clear" w:color="auto" w:fill="FFFFFF" w:themeFill="background1"/>
            <w:noWrap/>
            <w:vAlign w:val="center"/>
          </w:tcPr>
          <w:p w:rsidR="00ED2B37" w:rsidRDefault="004632C5" w:rsidP="005A2650">
            <w:pPr>
              <w:spacing w:before="40" w:after="40" w:line="240" w:lineRule="auto"/>
              <w:rPr>
                <w:rFonts w:cs="Times New Roman"/>
                <w:szCs w:val="22"/>
              </w:rPr>
            </w:pPr>
            <w:r>
              <w:rPr>
                <w:rFonts w:cs="Times New Roman"/>
                <w:szCs w:val="22"/>
              </w:rPr>
              <w:t>Percent endorsement (3 year average)</w:t>
            </w:r>
          </w:p>
        </w:tc>
        <w:tc>
          <w:tcPr>
            <w:tcW w:w="627" w:type="pct"/>
            <w:tcBorders>
              <w:top w:val="single" w:sz="2" w:space="0" w:color="126CB5"/>
              <w:bottom w:val="single" w:sz="2" w:space="0" w:color="106CB5"/>
            </w:tcBorders>
            <w:shd w:val="clear" w:color="auto" w:fill="FFFFFF" w:themeFill="background1"/>
            <w:noWrap/>
            <w:vAlign w:val="center"/>
          </w:tcPr>
          <w:p w:rsidR="00ED2B37" w:rsidRDefault="004632C5">
            <w:pPr>
              <w:jc w:val="right"/>
              <w:cnfStyle w:val="000000000000" w:firstRow="0" w:lastRow="0" w:firstColumn="0" w:lastColumn="0" w:oddVBand="0" w:evenVBand="0" w:oddHBand="0" w:evenHBand="0" w:firstRowFirstColumn="0" w:firstRowLastColumn="0" w:lastRowFirstColumn="0" w:lastRowLastColumn="0"/>
            </w:pPr>
            <w:r>
              <w:t xml:space="preserve"> 81.8</w:t>
            </w:r>
          </w:p>
        </w:tc>
        <w:tc>
          <w:tcPr>
            <w:tcW w:w="627" w:type="pct"/>
            <w:tcBorders>
              <w:top w:val="single" w:sz="2" w:space="0" w:color="126CB5"/>
              <w:bottom w:val="single" w:sz="2" w:space="0" w:color="106CB5"/>
            </w:tcBorders>
            <w:shd w:val="clear" w:color="auto" w:fill="FFFFFF" w:themeFill="background1"/>
            <w:noWrap/>
            <w:vAlign w:val="center"/>
          </w:tcPr>
          <w:p w:rsidR="00ED2B37" w:rsidRDefault="004632C5">
            <w:pPr>
              <w:jc w:val="right"/>
              <w:cnfStyle w:val="000000000000" w:firstRow="0" w:lastRow="0" w:firstColumn="0" w:lastColumn="0" w:oddVBand="0" w:evenVBand="0" w:oddHBand="0" w:evenHBand="0" w:firstRowFirstColumn="0" w:firstRowLastColumn="0" w:lastRowFirstColumn="0" w:lastRowLastColumn="0"/>
            </w:pPr>
            <w:r>
              <w:t xml:space="preserve"> 81.4</w:t>
            </w:r>
          </w:p>
        </w:tc>
        <w:tc>
          <w:tcPr>
            <w:tcW w:w="627" w:type="pct"/>
            <w:tcBorders>
              <w:top w:val="single" w:sz="2" w:space="0" w:color="126CB5"/>
              <w:bottom w:val="single" w:sz="2" w:space="0" w:color="106CB5"/>
            </w:tcBorders>
            <w:shd w:val="clear" w:color="auto" w:fill="FFFFFF" w:themeFill="background1"/>
            <w:vAlign w:val="center"/>
          </w:tcPr>
          <w:p w:rsidR="00ED2B37" w:rsidRDefault="004632C5">
            <w:pPr>
              <w:jc w:val="right"/>
              <w:cnfStyle w:val="000000000000" w:firstRow="0" w:lastRow="0" w:firstColumn="0" w:lastColumn="0" w:oddVBand="0" w:evenVBand="0" w:oddHBand="0" w:evenHBand="0" w:firstRowFirstColumn="0" w:firstRowLastColumn="0" w:lastRowFirstColumn="0" w:lastRowLastColumn="0"/>
            </w:pPr>
            <w:r>
              <w:t xml:space="preserve"> 73.9</w:t>
            </w:r>
          </w:p>
        </w:tc>
        <w:tc>
          <w:tcPr>
            <w:tcW w:w="663" w:type="pct"/>
            <w:tcBorders>
              <w:top w:val="single" w:sz="2" w:space="0" w:color="126CB5"/>
              <w:bottom w:val="single" w:sz="2" w:space="0" w:color="106CB5"/>
            </w:tcBorders>
            <w:shd w:val="clear" w:color="auto" w:fill="FFFFFF" w:themeFill="background1"/>
            <w:noWrap/>
            <w:vAlign w:val="center"/>
          </w:tcPr>
          <w:p w:rsidR="00ED2B37" w:rsidRDefault="004632C5">
            <w:pPr>
              <w:jc w:val="right"/>
              <w:cnfStyle w:val="000000000000" w:firstRow="0" w:lastRow="0" w:firstColumn="0" w:lastColumn="0" w:oddVBand="0" w:evenVBand="0" w:oddHBand="0" w:evenHBand="0" w:firstRowFirstColumn="0" w:firstRowLastColumn="0" w:lastRowFirstColumn="0" w:lastRowLastColumn="0"/>
            </w:pPr>
            <w:r>
              <w:t xml:space="preserve"> 88.1</w:t>
            </w:r>
          </w:p>
        </w:tc>
        <w:tc>
          <w:tcPr>
            <w:tcW w:w="626" w:type="pct"/>
            <w:tcBorders>
              <w:top w:val="single" w:sz="2" w:space="0" w:color="126CB5"/>
              <w:bottom w:val="single" w:sz="2" w:space="0" w:color="106CB5"/>
            </w:tcBorders>
            <w:shd w:val="clear" w:color="auto" w:fill="FFFFFF" w:themeFill="background1"/>
            <w:vAlign w:val="center"/>
          </w:tcPr>
          <w:p w:rsidR="00ED2B37" w:rsidRDefault="004632C5">
            <w:pPr>
              <w:jc w:val="right"/>
              <w:cnfStyle w:val="000000000000" w:firstRow="0" w:lastRow="0" w:firstColumn="0" w:lastColumn="0" w:oddVBand="0" w:evenVBand="0" w:oddHBand="0" w:evenHBand="0" w:firstRowFirstColumn="0" w:firstRowLastColumn="0" w:lastRowFirstColumn="0" w:lastRowLastColumn="0"/>
            </w:pPr>
            <w:r>
              <w:t>-</w:t>
            </w:r>
          </w:p>
        </w:tc>
      </w:tr>
    </w:tbl>
    <w:p w:rsidR="00ED2B37" w:rsidRDefault="004632C5">
      <w:pPr>
        <w:spacing w:after="0" w:line="240" w:lineRule="auto"/>
      </w:pPr>
    </w:p>
    <w:p w:rsidR="00ED2B37" w:rsidRDefault="004632C5">
      <w:pPr>
        <w:pStyle w:val="ESBodyText"/>
        <w:rPr>
          <w:rFonts w:eastAsiaTheme="majorEastAsia" w:cstheme="majorBidi"/>
          <w:bCs/>
          <w:szCs w:val="20"/>
        </w:rPr>
      </w:pPr>
    </w:p>
    <w:p w:rsidR="00ED2B37" w:rsidRDefault="004632C5">
      <w:pPr>
        <w:pStyle w:val="ESBodyText"/>
        <w:rPr>
          <w:rFonts w:eastAsiaTheme="majorEastAsia" w:cstheme="majorBidi"/>
          <w:b/>
          <w:bCs/>
          <w:color w:val="00008B"/>
          <w:szCs w:val="20"/>
        </w:rPr>
      </w:pPr>
      <w:r>
        <w:rPr>
          <w:rFonts w:eastAsiaTheme="majorEastAsia" w:cstheme="majorBidi"/>
          <w:b/>
          <w:bCs/>
          <w:color w:val="00008B"/>
          <w:szCs w:val="20"/>
        </w:rPr>
        <w:t>Student Attitudes to School – Management of Bullying</w:t>
      </w:r>
    </w:p>
    <w:p w:rsidR="00ED2B37" w:rsidRDefault="004632C5">
      <w:pPr>
        <w:pStyle w:val="ESBodyText"/>
        <w:rPr>
          <w:rFonts w:eastAsiaTheme="majorEastAsia" w:cstheme="majorBidi"/>
          <w:bCs/>
          <w:szCs w:val="20"/>
        </w:rPr>
      </w:pPr>
      <w:r>
        <w:t xml:space="preserve">The percent endorsement on </w:t>
      </w:r>
      <w:r>
        <w:t>Management of Bullying factor, as reported in the Attitudes to School Survey completed annually by Victorian Government school students in year levels 4 to 6.</w:t>
      </w:r>
    </w:p>
    <w:p w:rsidR="00ED2B37" w:rsidRDefault="004632C5">
      <w:pPr>
        <w:pStyle w:val="ESBodyText"/>
      </w:pPr>
      <w:r>
        <w:t>Percent endorsement indicates the percent of positive responses (agree or strongly agree).</w:t>
      </w:r>
    </w:p>
    <w:tbl>
      <w:tblPr>
        <w:tblStyle w:val="GridTable2-Accent61"/>
        <w:tblW w:w="4843" w:type="pct"/>
        <w:jc w:val="center"/>
        <w:tblLook w:val="04A0" w:firstRow="1" w:lastRow="0" w:firstColumn="1" w:lastColumn="0" w:noHBand="0" w:noVBand="1"/>
        <w:tblCaption w:val="Attitude to schools survey - student perception of safety"/>
      </w:tblPr>
      <w:tblGrid>
        <w:gridCol w:w="3800"/>
        <w:gridCol w:w="1293"/>
        <w:gridCol w:w="1293"/>
        <w:gridCol w:w="1293"/>
        <w:gridCol w:w="1460"/>
        <w:gridCol w:w="1289"/>
      </w:tblGrid>
      <w:tr w:rsidR="004161F2" w:rsidTr="004161F2">
        <w:trPr>
          <w:cnfStyle w:val="100000000000" w:firstRow="1" w:lastRow="0" w:firstColumn="0" w:lastColumn="0" w:oddVBand="0" w:evenVBand="0" w:oddHBand="0" w:evenHBand="0" w:firstRowFirstColumn="0" w:firstRowLastColumn="0" w:lastRowFirstColumn="0" w:lastRowLastColumn="0"/>
          <w:trHeight w:val="661"/>
          <w:tblHeader/>
          <w:jc w:val="center"/>
        </w:trPr>
        <w:tc>
          <w:tcPr>
            <w:cnfStyle w:val="001000000000" w:firstRow="0" w:lastRow="0" w:firstColumn="1" w:lastColumn="0" w:oddVBand="0" w:evenVBand="0" w:oddHBand="0" w:evenHBand="0" w:firstRowFirstColumn="0" w:firstRowLastColumn="0" w:lastRowFirstColumn="0" w:lastRowLastColumn="0"/>
            <w:tcW w:w="1822" w:type="pct"/>
            <w:tcBorders>
              <w:bottom w:val="single" w:sz="12" w:space="0" w:color="FFFFFF"/>
            </w:tcBorders>
            <w:shd w:val="clear" w:color="auto" w:fill="106CB5"/>
            <w:vAlign w:val="center"/>
            <w:hideMark/>
          </w:tcPr>
          <w:p w:rsidR="00ED2B37" w:rsidRDefault="004632C5">
            <w:pPr>
              <w:spacing w:before="40" w:after="40" w:line="240" w:lineRule="auto"/>
              <w:rPr>
                <w:rFonts w:cs="Times New Roman"/>
                <w:color w:val="FFFFFF"/>
                <w:szCs w:val="22"/>
              </w:rPr>
            </w:pPr>
            <w:r>
              <w:t xml:space="preserve"> </w:t>
            </w:r>
            <w:r>
              <w:rPr>
                <w:rFonts w:cs="Times New Roman"/>
                <w:color w:val="FFFFFF"/>
                <w:szCs w:val="22"/>
              </w:rPr>
              <w:t>Manag</w:t>
            </w:r>
            <w:r>
              <w:rPr>
                <w:rFonts w:cs="Times New Roman"/>
                <w:color w:val="FFFFFF"/>
                <w:szCs w:val="22"/>
              </w:rPr>
              <w:t>ement of Bullying</w:t>
            </w:r>
          </w:p>
        </w:tc>
        <w:tc>
          <w:tcPr>
            <w:tcW w:w="620" w:type="pct"/>
            <w:tcBorders>
              <w:bottom w:val="single" w:sz="12" w:space="0" w:color="FFFFFF"/>
            </w:tcBorders>
            <w:shd w:val="clear" w:color="auto" w:fill="106CB5"/>
            <w:vAlign w:val="center"/>
            <w:hideMark/>
          </w:tcPr>
          <w:p w:rsidR="00ED2B37" w:rsidRDefault="004632C5">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color w:val="FFFFFF"/>
                <w:szCs w:val="22"/>
              </w:rPr>
              <w:t>School</w:t>
            </w:r>
          </w:p>
        </w:tc>
        <w:tc>
          <w:tcPr>
            <w:tcW w:w="620" w:type="pct"/>
            <w:tcBorders>
              <w:bottom w:val="single" w:sz="12" w:space="0" w:color="FFFFFF"/>
            </w:tcBorders>
            <w:shd w:val="clear" w:color="auto" w:fill="106CB5"/>
            <w:vAlign w:val="center"/>
            <w:hideMark/>
          </w:tcPr>
          <w:p w:rsidR="00ED2B37" w:rsidRDefault="004632C5">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color w:val="FFFFFF"/>
                <w:szCs w:val="22"/>
              </w:rPr>
              <w:t>State Median</w:t>
            </w:r>
          </w:p>
        </w:tc>
        <w:tc>
          <w:tcPr>
            <w:tcW w:w="620" w:type="pct"/>
            <w:tcBorders>
              <w:bottom w:val="single" w:sz="12" w:space="0" w:color="FFFFFF"/>
            </w:tcBorders>
            <w:shd w:val="clear" w:color="auto" w:fill="106CB5"/>
            <w:vAlign w:val="center"/>
          </w:tcPr>
          <w:p w:rsidR="00ED2B37" w:rsidRDefault="004632C5">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Middle 60 percent low</w:t>
            </w:r>
          </w:p>
        </w:tc>
        <w:tc>
          <w:tcPr>
            <w:tcW w:w="700" w:type="pct"/>
            <w:tcBorders>
              <w:bottom w:val="single" w:sz="12" w:space="0" w:color="FFFFFF"/>
            </w:tcBorders>
            <w:shd w:val="clear" w:color="auto" w:fill="106CB5"/>
            <w:vAlign w:val="center"/>
            <w:hideMark/>
          </w:tcPr>
          <w:p w:rsidR="00ED2B37" w:rsidRDefault="004632C5">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Middle 60 percent high</w:t>
            </w:r>
          </w:p>
        </w:tc>
        <w:tc>
          <w:tcPr>
            <w:tcW w:w="618" w:type="pct"/>
            <w:tcBorders>
              <w:bottom w:val="single" w:sz="12" w:space="0" w:color="FFFFFF"/>
            </w:tcBorders>
            <w:shd w:val="clear" w:color="auto" w:fill="106CB5"/>
            <w:vAlign w:val="center"/>
          </w:tcPr>
          <w:p w:rsidR="00ED2B37" w:rsidRDefault="004632C5">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Similar School Comparison</w:t>
            </w:r>
          </w:p>
        </w:tc>
      </w:tr>
      <w:tr w:rsidR="004161F2" w:rsidTr="004161F2">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822" w:type="pct"/>
            <w:tcBorders>
              <w:top w:val="single" w:sz="12" w:space="0" w:color="FFFFFF"/>
              <w:bottom w:val="single" w:sz="2" w:space="0" w:color="106CB5"/>
            </w:tcBorders>
            <w:shd w:val="clear" w:color="auto" w:fill="FFFFFF"/>
            <w:noWrap/>
            <w:vAlign w:val="center"/>
          </w:tcPr>
          <w:p w:rsidR="00ED2B37" w:rsidRDefault="004632C5">
            <w:pPr>
              <w:spacing w:before="40" w:after="40" w:line="240" w:lineRule="auto"/>
              <w:rPr>
                <w:rFonts w:cs="Times New Roman"/>
                <w:szCs w:val="22"/>
              </w:rPr>
            </w:pPr>
          </w:p>
        </w:tc>
        <w:tc>
          <w:tcPr>
            <w:tcW w:w="620" w:type="pct"/>
            <w:tcBorders>
              <w:top w:val="single" w:sz="12" w:space="0" w:color="FFFFFF"/>
              <w:bottom w:val="single" w:sz="2" w:space="0" w:color="106CB5"/>
            </w:tcBorders>
            <w:shd w:val="clear" w:color="auto" w:fill="FFFFFF"/>
            <w:noWrap/>
            <w:vAlign w:val="center"/>
          </w:tcPr>
          <w:p w:rsidR="00ED2B37" w:rsidRDefault="004632C5">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620" w:type="pct"/>
            <w:tcBorders>
              <w:top w:val="single" w:sz="12" w:space="0" w:color="FFFFFF"/>
              <w:bottom w:val="single" w:sz="2" w:space="0" w:color="106CB5"/>
            </w:tcBorders>
            <w:shd w:val="clear" w:color="auto" w:fill="FFFFFF"/>
            <w:noWrap/>
            <w:vAlign w:val="center"/>
          </w:tcPr>
          <w:p w:rsidR="00ED2B37" w:rsidRDefault="004632C5">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620" w:type="pct"/>
            <w:tcBorders>
              <w:top w:val="single" w:sz="12" w:space="0" w:color="FFFFFF"/>
              <w:bottom w:val="single" w:sz="2" w:space="0" w:color="106CB5"/>
            </w:tcBorders>
            <w:shd w:val="clear" w:color="auto" w:fill="FFFFFF"/>
          </w:tcPr>
          <w:p w:rsidR="00ED2B37" w:rsidRDefault="004632C5">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700" w:type="pct"/>
            <w:tcBorders>
              <w:top w:val="single" w:sz="12" w:space="0" w:color="FFFFFF"/>
              <w:bottom w:val="single" w:sz="2" w:space="0" w:color="106CB5"/>
            </w:tcBorders>
            <w:shd w:val="clear" w:color="auto" w:fill="FFFFFF"/>
            <w:noWrap/>
            <w:vAlign w:val="center"/>
          </w:tcPr>
          <w:p w:rsidR="00ED2B37" w:rsidRDefault="004632C5">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618" w:type="pct"/>
            <w:tcBorders>
              <w:top w:val="single" w:sz="12" w:space="0" w:color="FFFFFF"/>
              <w:bottom w:val="single" w:sz="2" w:space="0" w:color="106CB5"/>
            </w:tcBorders>
            <w:shd w:val="clear" w:color="auto" w:fill="FFFFFF"/>
          </w:tcPr>
          <w:p w:rsidR="00ED2B37" w:rsidRDefault="004632C5">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p>
        </w:tc>
      </w:tr>
      <w:tr w:rsidR="004161F2" w:rsidTr="004161F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22" w:type="pct"/>
            <w:tcBorders>
              <w:top w:val="single" w:sz="2" w:space="0" w:color="106CB5"/>
              <w:bottom w:val="single" w:sz="2" w:space="0" w:color="106CB5"/>
            </w:tcBorders>
            <w:shd w:val="clear" w:color="auto" w:fill="D9D9D9" w:themeFill="background1" w:themeFillShade="D9"/>
            <w:noWrap/>
            <w:vAlign w:val="center"/>
          </w:tcPr>
          <w:p w:rsidR="00ED2B37" w:rsidRDefault="004632C5">
            <w:pPr>
              <w:spacing w:before="40" w:after="40" w:line="240" w:lineRule="auto"/>
              <w:rPr>
                <w:rFonts w:cs="Times New Roman"/>
                <w:szCs w:val="22"/>
              </w:rPr>
            </w:pPr>
            <w:r>
              <w:rPr>
                <w:rFonts w:cs="Times New Roman"/>
                <w:szCs w:val="22"/>
              </w:rPr>
              <w:t>Percent endorsement (latest year)</w:t>
            </w:r>
          </w:p>
        </w:tc>
        <w:tc>
          <w:tcPr>
            <w:tcW w:w="620" w:type="pct"/>
            <w:tcBorders>
              <w:top w:val="single" w:sz="2" w:space="0" w:color="106CB5"/>
              <w:bottom w:val="single" w:sz="2" w:space="0" w:color="106CB5"/>
            </w:tcBorders>
            <w:shd w:val="clear" w:color="auto" w:fill="D9D9D9" w:themeFill="background1" w:themeFillShade="D9"/>
            <w:noWrap/>
            <w:vAlign w:val="center"/>
          </w:tcPr>
          <w:p w:rsidR="00ED2B37" w:rsidRDefault="004632C5">
            <w:pPr>
              <w:jc w:val="right"/>
              <w:cnfStyle w:val="000000100000" w:firstRow="0" w:lastRow="0" w:firstColumn="0" w:lastColumn="0" w:oddVBand="0" w:evenVBand="0" w:oddHBand="1" w:evenHBand="0" w:firstRowFirstColumn="0" w:firstRowLastColumn="0" w:lastRowFirstColumn="0" w:lastRowLastColumn="0"/>
            </w:pPr>
            <w:r>
              <w:t xml:space="preserve"> 85.9</w:t>
            </w:r>
          </w:p>
        </w:tc>
        <w:tc>
          <w:tcPr>
            <w:tcW w:w="620" w:type="pct"/>
            <w:tcBorders>
              <w:top w:val="single" w:sz="2" w:space="0" w:color="106CB5"/>
              <w:bottom w:val="single" w:sz="2" w:space="0" w:color="106CB5"/>
            </w:tcBorders>
            <w:shd w:val="clear" w:color="auto" w:fill="D9D9D9" w:themeFill="background1" w:themeFillShade="D9"/>
            <w:noWrap/>
            <w:vAlign w:val="center"/>
          </w:tcPr>
          <w:p w:rsidR="00ED2B37" w:rsidRDefault="004632C5">
            <w:pPr>
              <w:jc w:val="right"/>
              <w:cnfStyle w:val="000000100000" w:firstRow="0" w:lastRow="0" w:firstColumn="0" w:lastColumn="0" w:oddVBand="0" w:evenVBand="0" w:oddHBand="1" w:evenHBand="0" w:firstRowFirstColumn="0" w:firstRowLastColumn="0" w:lastRowFirstColumn="0" w:lastRowLastColumn="0"/>
            </w:pPr>
            <w:r>
              <w:t xml:space="preserve"> 81.6</w:t>
            </w:r>
          </w:p>
        </w:tc>
        <w:tc>
          <w:tcPr>
            <w:tcW w:w="620" w:type="pct"/>
            <w:tcBorders>
              <w:top w:val="single" w:sz="2" w:space="0" w:color="106CB5"/>
              <w:bottom w:val="single" w:sz="2" w:space="0" w:color="106CB5"/>
            </w:tcBorders>
            <w:shd w:val="clear" w:color="auto" w:fill="D9D9D9" w:themeFill="background1" w:themeFillShade="D9"/>
            <w:vAlign w:val="center"/>
          </w:tcPr>
          <w:p w:rsidR="00ED2B37" w:rsidRDefault="004632C5">
            <w:pPr>
              <w:jc w:val="right"/>
              <w:cnfStyle w:val="000000100000" w:firstRow="0" w:lastRow="0" w:firstColumn="0" w:lastColumn="0" w:oddVBand="0" w:evenVBand="0" w:oddHBand="1" w:evenHBand="0" w:firstRowFirstColumn="0" w:firstRowLastColumn="0" w:lastRowFirstColumn="0" w:lastRowLastColumn="0"/>
            </w:pPr>
            <w:r>
              <w:t xml:space="preserve"> 72.2</w:t>
            </w:r>
          </w:p>
        </w:tc>
        <w:tc>
          <w:tcPr>
            <w:tcW w:w="700" w:type="pct"/>
            <w:tcBorders>
              <w:top w:val="single" w:sz="2" w:space="0" w:color="106CB5"/>
              <w:bottom w:val="single" w:sz="2" w:space="0" w:color="106CB5"/>
            </w:tcBorders>
            <w:shd w:val="clear" w:color="auto" w:fill="D9D9D9" w:themeFill="background1" w:themeFillShade="D9"/>
            <w:noWrap/>
            <w:vAlign w:val="center"/>
          </w:tcPr>
          <w:p w:rsidR="00ED2B37" w:rsidRDefault="004632C5">
            <w:pPr>
              <w:jc w:val="right"/>
              <w:cnfStyle w:val="000000100000" w:firstRow="0" w:lastRow="0" w:firstColumn="0" w:lastColumn="0" w:oddVBand="0" w:evenVBand="0" w:oddHBand="1" w:evenHBand="0" w:firstRowFirstColumn="0" w:firstRowLastColumn="0" w:lastRowFirstColumn="0" w:lastRowLastColumn="0"/>
            </w:pPr>
            <w:r>
              <w:t xml:space="preserve"> 90.0</w:t>
            </w:r>
          </w:p>
        </w:tc>
        <w:tc>
          <w:tcPr>
            <w:tcW w:w="618" w:type="pct"/>
            <w:tcBorders>
              <w:top w:val="single" w:sz="2" w:space="0" w:color="106CB5"/>
              <w:bottom w:val="single" w:sz="2" w:space="0" w:color="106CB5"/>
            </w:tcBorders>
            <w:shd w:val="clear" w:color="auto" w:fill="D9D9D9" w:themeFill="background1" w:themeFillShade="D9"/>
            <w:vAlign w:val="center"/>
          </w:tcPr>
          <w:p w:rsidR="00ED2B37" w:rsidRDefault="004632C5">
            <w:pPr>
              <w:jc w:val="right"/>
              <w:cnfStyle w:val="000000100000" w:firstRow="0" w:lastRow="0" w:firstColumn="0" w:lastColumn="0" w:oddVBand="0" w:evenVBand="0" w:oddHBand="1" w:evenHBand="0" w:firstRowFirstColumn="0" w:firstRowLastColumn="0" w:lastRowFirstColumn="0" w:lastRowLastColumn="0"/>
            </w:pPr>
            <w:r>
              <w:t>Above</w:t>
            </w:r>
          </w:p>
        </w:tc>
      </w:tr>
      <w:tr w:rsidR="004161F2" w:rsidTr="004161F2">
        <w:tblPrEx>
          <w:jc w:val="left"/>
        </w:tblPrEx>
        <w:tc>
          <w:tcPr>
            <w:cnfStyle w:val="001000000000" w:firstRow="0" w:lastRow="0" w:firstColumn="1" w:lastColumn="0" w:oddVBand="0" w:evenVBand="0" w:oddHBand="0" w:evenHBand="0" w:firstRowFirstColumn="0" w:firstRowLastColumn="0" w:lastRowFirstColumn="0" w:lastRowLastColumn="0"/>
            <w:tcW w:w="1822" w:type="pct"/>
            <w:tcBorders>
              <w:top w:val="single" w:sz="2" w:space="0" w:color="106CB5"/>
              <w:bottom w:val="single" w:sz="2" w:space="0" w:color="106CB5"/>
            </w:tcBorders>
            <w:noWrap/>
          </w:tcPr>
          <w:p w:rsidR="00ED2B37" w:rsidRDefault="004632C5" w:rsidP="005A2650">
            <w:pPr>
              <w:spacing w:before="40" w:after="40" w:line="240" w:lineRule="auto"/>
              <w:rPr>
                <w:rFonts w:cs="Times New Roman"/>
                <w:szCs w:val="22"/>
              </w:rPr>
            </w:pPr>
            <w:r>
              <w:rPr>
                <w:rFonts w:cs="Times New Roman"/>
                <w:szCs w:val="22"/>
              </w:rPr>
              <w:t>Percent endorsement (3 year average)</w:t>
            </w:r>
          </w:p>
        </w:tc>
        <w:tc>
          <w:tcPr>
            <w:tcW w:w="620" w:type="pct"/>
            <w:tcBorders>
              <w:top w:val="single" w:sz="2" w:space="0" w:color="106CB5"/>
              <w:bottom w:val="single" w:sz="2" w:space="0" w:color="106CB5"/>
            </w:tcBorders>
            <w:noWrap/>
          </w:tcPr>
          <w:p w:rsidR="00ED2B37" w:rsidRDefault="004632C5">
            <w:pPr>
              <w:jc w:val="right"/>
              <w:cnfStyle w:val="000000000000" w:firstRow="0" w:lastRow="0" w:firstColumn="0" w:lastColumn="0" w:oddVBand="0" w:evenVBand="0" w:oddHBand="0" w:evenHBand="0" w:firstRowFirstColumn="0" w:firstRowLastColumn="0" w:lastRowFirstColumn="0" w:lastRowLastColumn="0"/>
            </w:pPr>
            <w:r>
              <w:t xml:space="preserve"> 85.9</w:t>
            </w:r>
          </w:p>
        </w:tc>
        <w:tc>
          <w:tcPr>
            <w:tcW w:w="620" w:type="pct"/>
            <w:tcBorders>
              <w:top w:val="single" w:sz="2" w:space="0" w:color="106CB5"/>
              <w:bottom w:val="single" w:sz="2" w:space="0" w:color="106CB5"/>
            </w:tcBorders>
            <w:noWrap/>
          </w:tcPr>
          <w:p w:rsidR="00ED2B37" w:rsidRDefault="004632C5">
            <w:pPr>
              <w:jc w:val="right"/>
              <w:cnfStyle w:val="000000000000" w:firstRow="0" w:lastRow="0" w:firstColumn="0" w:lastColumn="0" w:oddVBand="0" w:evenVBand="0" w:oddHBand="0" w:evenHBand="0" w:firstRowFirstColumn="0" w:firstRowLastColumn="0" w:lastRowFirstColumn="0" w:lastRowLastColumn="0"/>
            </w:pPr>
            <w:r>
              <w:t xml:space="preserve"> 81.7</w:t>
            </w:r>
          </w:p>
        </w:tc>
        <w:tc>
          <w:tcPr>
            <w:tcW w:w="620" w:type="pct"/>
            <w:tcBorders>
              <w:top w:val="single" w:sz="2" w:space="0" w:color="106CB5"/>
              <w:bottom w:val="single" w:sz="2" w:space="0" w:color="106CB5"/>
            </w:tcBorders>
          </w:tcPr>
          <w:p w:rsidR="00ED2B37" w:rsidRDefault="004632C5">
            <w:pPr>
              <w:jc w:val="right"/>
              <w:cnfStyle w:val="000000000000" w:firstRow="0" w:lastRow="0" w:firstColumn="0" w:lastColumn="0" w:oddVBand="0" w:evenVBand="0" w:oddHBand="0" w:evenHBand="0" w:firstRowFirstColumn="0" w:firstRowLastColumn="0" w:lastRowFirstColumn="0" w:lastRowLastColumn="0"/>
            </w:pPr>
            <w:r>
              <w:t xml:space="preserve"> 74.4</w:t>
            </w:r>
          </w:p>
        </w:tc>
        <w:tc>
          <w:tcPr>
            <w:tcW w:w="700" w:type="pct"/>
            <w:tcBorders>
              <w:top w:val="single" w:sz="2" w:space="0" w:color="106CB5"/>
              <w:bottom w:val="single" w:sz="2" w:space="0" w:color="106CB5"/>
            </w:tcBorders>
            <w:noWrap/>
          </w:tcPr>
          <w:p w:rsidR="00ED2B37" w:rsidRDefault="004632C5">
            <w:pPr>
              <w:jc w:val="right"/>
              <w:cnfStyle w:val="000000000000" w:firstRow="0" w:lastRow="0" w:firstColumn="0" w:lastColumn="0" w:oddVBand="0" w:evenVBand="0" w:oddHBand="0" w:evenHBand="0" w:firstRowFirstColumn="0" w:firstRowLastColumn="0" w:lastRowFirstColumn="0" w:lastRowLastColumn="0"/>
            </w:pPr>
            <w:r>
              <w:t xml:space="preserve"> 89.1</w:t>
            </w:r>
          </w:p>
        </w:tc>
        <w:tc>
          <w:tcPr>
            <w:tcW w:w="618" w:type="pct"/>
            <w:tcBorders>
              <w:top w:val="single" w:sz="2" w:space="0" w:color="106CB5"/>
              <w:bottom w:val="single" w:sz="2" w:space="0" w:color="106CB5"/>
            </w:tcBorders>
          </w:tcPr>
          <w:p w:rsidR="00ED2B37" w:rsidRDefault="004632C5">
            <w:pPr>
              <w:jc w:val="right"/>
              <w:cnfStyle w:val="000000000000" w:firstRow="0" w:lastRow="0" w:firstColumn="0" w:lastColumn="0" w:oddVBand="0" w:evenVBand="0" w:oddHBand="0" w:evenHBand="0" w:firstRowFirstColumn="0" w:firstRowLastColumn="0" w:lastRowFirstColumn="0" w:lastRowLastColumn="0"/>
            </w:pPr>
            <w:r>
              <w:t>-</w:t>
            </w:r>
          </w:p>
        </w:tc>
      </w:tr>
    </w:tbl>
    <w:p w:rsidR="00ED2B37" w:rsidRDefault="004632C5">
      <w:pPr>
        <w:spacing w:after="0" w:line="240" w:lineRule="auto"/>
      </w:pPr>
    </w:p>
    <w:p w:rsidR="00ED2B37" w:rsidRDefault="004632C5">
      <w:pPr>
        <w:spacing w:after="0" w:line="240" w:lineRule="auto"/>
      </w:pPr>
      <w:r>
        <w:br w:type="page"/>
      </w:r>
    </w:p>
    <w:p w:rsidR="00ED2B37" w:rsidRDefault="004632C5">
      <w:pPr>
        <w:spacing w:after="0" w:line="240" w:lineRule="auto"/>
        <w:jc w:val="center"/>
        <w:rPr>
          <w:rFonts w:eastAsia="MS Gothic" w:cs="Times New Roman"/>
          <w:b/>
          <w:spacing w:val="5"/>
          <w:kern w:val="28"/>
          <w:sz w:val="44"/>
          <w:szCs w:val="52"/>
        </w:rPr>
      </w:pPr>
      <w:r>
        <w:rPr>
          <w:rFonts w:eastAsia="MS Gothic" w:cs="Times New Roman"/>
          <w:b/>
          <w:spacing w:val="5"/>
          <w:kern w:val="28"/>
          <w:sz w:val="44"/>
          <w:szCs w:val="52"/>
        </w:rPr>
        <w:t>Financial Performance and Position</w:t>
      </w:r>
    </w:p>
    <w:p w:rsidR="00ED2B37" w:rsidRDefault="004632C5">
      <w:pPr>
        <w:keepNext/>
        <w:keepLines/>
        <w:spacing w:before="360"/>
        <w:outlineLvl w:val="0"/>
        <w:rPr>
          <w:rFonts w:eastAsia="MS Gothic" w:cs="Times New Roman"/>
          <w:b/>
          <w:bCs/>
          <w:caps/>
          <w:color w:val="00008B"/>
          <w:sz w:val="20"/>
          <w:szCs w:val="20"/>
          <w:u w:val="single"/>
        </w:rPr>
      </w:pPr>
      <w:r>
        <w:rPr>
          <w:rFonts w:eastAsia="MS Gothic" w:cs="Times New Roman"/>
          <w:b/>
          <w:bCs/>
          <w:caps/>
          <w:color w:val="00008B"/>
          <w:sz w:val="20"/>
          <w:szCs w:val="20"/>
          <w:u w:val="single"/>
        </w:rPr>
        <w:t>Financial Performance - Operating Statement Summary for the year ending 31 December, 2019</w:t>
      </w:r>
    </w:p>
    <w:tbl>
      <w:tblPr>
        <w:tblStyle w:val="GridTable2-Accent6121"/>
        <w:tblW w:w="2876" w:type="pct"/>
        <w:jc w:val="center"/>
        <w:tblLook w:val="04A0" w:firstRow="1" w:lastRow="0" w:firstColumn="1" w:lastColumn="0" w:noHBand="0" w:noVBand="1"/>
        <w:tblCaption w:val="FInance - Revenue Table"/>
      </w:tblPr>
      <w:tblGrid>
        <w:gridCol w:w="4428"/>
        <w:gridCol w:w="1765"/>
      </w:tblGrid>
      <w:tr w:rsidR="004161F2" w:rsidTr="004161F2">
        <w:trPr>
          <w:cnfStyle w:val="100000000000" w:firstRow="1" w:lastRow="0" w:firstColumn="0" w:lastColumn="0" w:oddVBand="0" w:evenVBand="0" w:oddHBand="0" w:evenHBand="0" w:firstRowFirstColumn="0" w:firstRowLastColumn="0" w:lastRowFirstColumn="0" w:lastRowLastColumn="0"/>
          <w:trHeight w:hRule="exact" w:val="454"/>
          <w:tblHeader/>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106CB5"/>
            <w:vAlign w:val="center"/>
            <w:hideMark/>
          </w:tcPr>
          <w:p w:rsidR="00ED2B37" w:rsidRDefault="004632C5">
            <w:pPr>
              <w:spacing w:before="40" w:after="40" w:line="240" w:lineRule="auto"/>
              <w:rPr>
                <w:rFonts w:eastAsia="MS Mincho" w:cs="Times New Roman"/>
                <w:color w:val="FFFFFF"/>
                <w:szCs w:val="22"/>
              </w:rPr>
            </w:pPr>
            <w:r>
              <w:rPr>
                <w:rFonts w:eastAsia="MS Mincho" w:cs="Times New Roman"/>
                <w:b w:val="0"/>
                <w:color w:val="FFFFFF"/>
                <w:szCs w:val="22"/>
              </w:rPr>
              <w:t>Revenue</w:t>
            </w:r>
          </w:p>
        </w:tc>
        <w:tc>
          <w:tcPr>
            <w:tcW w:w="1425" w:type="pct"/>
            <w:shd w:val="clear" w:color="auto" w:fill="106CB5"/>
            <w:vAlign w:val="center"/>
            <w:hideMark/>
          </w:tcPr>
          <w:p w:rsidR="00ED2B37" w:rsidRDefault="004632C5">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eastAsia="MS Mincho" w:cs="Times New Roman"/>
                <w:color w:val="FFFFFF"/>
                <w:szCs w:val="22"/>
              </w:rPr>
            </w:pPr>
            <w:r>
              <w:rPr>
                <w:rFonts w:eastAsia="MS Mincho" w:cs="Times New Roman"/>
                <w:b w:val="0"/>
                <w:color w:val="FFFFFF"/>
                <w:szCs w:val="22"/>
              </w:rPr>
              <w:t>Actual</w:t>
            </w:r>
          </w:p>
        </w:tc>
      </w:tr>
      <w:tr w:rsidR="004161F2" w:rsidTr="004161F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single" w:sz="12" w:space="0" w:color="FFFFFF"/>
              <w:bottom w:val="nil"/>
              <w:right w:val="single" w:sz="4" w:space="0" w:color="FFFFFF"/>
            </w:tcBorders>
            <w:shd w:val="clear" w:color="auto" w:fill="D9D9D9"/>
            <w:noWrap/>
            <w:vAlign w:val="center"/>
            <w:hideMark/>
          </w:tcPr>
          <w:p w:rsidR="00ED2B37" w:rsidRDefault="004632C5">
            <w:pPr>
              <w:spacing w:before="40" w:after="40" w:line="240" w:lineRule="auto"/>
              <w:rPr>
                <w:rFonts w:eastAsia="MS Mincho" w:cs="Times New Roman"/>
                <w:szCs w:val="22"/>
              </w:rPr>
            </w:pPr>
            <w:r>
              <w:rPr>
                <w:rFonts w:eastAsia="MS Mincho" w:cs="Times New Roman"/>
                <w:b w:val="0"/>
                <w:szCs w:val="22"/>
              </w:rPr>
              <w:t>Student Resource Package</w:t>
            </w:r>
          </w:p>
        </w:tc>
        <w:tc>
          <w:tcPr>
            <w:tcW w:w="1425" w:type="pct"/>
            <w:tcBorders>
              <w:top w:val="single" w:sz="12" w:space="0" w:color="FFFFFF"/>
              <w:left w:val="single" w:sz="4" w:space="0" w:color="FFFFFF"/>
              <w:bottom w:val="nil"/>
            </w:tcBorders>
            <w:shd w:val="clear" w:color="auto" w:fill="D9D9D9"/>
            <w:noWrap/>
            <w:vAlign w:val="center"/>
          </w:tcPr>
          <w:p w:rsidR="00ED2B37" w:rsidRDefault="004632C5">
            <w:pPr>
              <w:jc w:val="right"/>
              <w:cnfStyle w:val="000000100000" w:firstRow="0" w:lastRow="0" w:firstColumn="0" w:lastColumn="0" w:oddVBand="0" w:evenVBand="0" w:oddHBand="1" w:evenHBand="0" w:firstRowFirstColumn="0" w:firstRowLastColumn="0" w:lastRowFirstColumn="0" w:lastRowLastColumn="0"/>
            </w:pPr>
            <w:r>
              <w:t>$1,450,912</w:t>
            </w:r>
          </w:p>
        </w:tc>
      </w:tr>
      <w:tr w:rsidR="004161F2" w:rsidTr="004161F2">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nil"/>
              <w:bottom w:val="nil"/>
              <w:right w:val="single" w:sz="4" w:space="0" w:color="FFFFFF"/>
            </w:tcBorders>
            <w:noWrap/>
            <w:vAlign w:val="center"/>
            <w:hideMark/>
          </w:tcPr>
          <w:p w:rsidR="00ED2B37" w:rsidRDefault="004632C5">
            <w:pPr>
              <w:spacing w:before="40" w:after="40" w:line="240" w:lineRule="auto"/>
              <w:rPr>
                <w:rFonts w:eastAsia="MS Mincho" w:cs="Times New Roman"/>
                <w:szCs w:val="22"/>
              </w:rPr>
            </w:pPr>
            <w:r>
              <w:rPr>
                <w:rFonts w:eastAsia="MS Mincho" w:cs="Times New Roman"/>
                <w:b w:val="0"/>
                <w:szCs w:val="22"/>
              </w:rPr>
              <w:t>Government Provided DET Grants</w:t>
            </w:r>
          </w:p>
        </w:tc>
        <w:tc>
          <w:tcPr>
            <w:tcW w:w="1425" w:type="pct"/>
            <w:tcBorders>
              <w:top w:val="nil"/>
              <w:left w:val="single" w:sz="4" w:space="0" w:color="FFFFFF"/>
              <w:bottom w:val="nil"/>
            </w:tcBorders>
            <w:noWrap/>
            <w:vAlign w:val="center"/>
          </w:tcPr>
          <w:p w:rsidR="00ED2B37" w:rsidRDefault="004632C5">
            <w:pPr>
              <w:jc w:val="right"/>
              <w:cnfStyle w:val="000000000000" w:firstRow="0" w:lastRow="0" w:firstColumn="0" w:lastColumn="0" w:oddVBand="0" w:evenVBand="0" w:oddHBand="0" w:evenHBand="0" w:firstRowFirstColumn="0" w:firstRowLastColumn="0" w:lastRowFirstColumn="0" w:lastRowLastColumn="0"/>
            </w:pPr>
            <w:r>
              <w:t>$202,989</w:t>
            </w:r>
          </w:p>
        </w:tc>
      </w:tr>
      <w:tr w:rsidR="004161F2" w:rsidTr="004161F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nil"/>
              <w:bottom w:val="nil"/>
              <w:right w:val="single" w:sz="4" w:space="0" w:color="FFFFFF"/>
            </w:tcBorders>
            <w:shd w:val="clear" w:color="auto" w:fill="D9D9D9"/>
            <w:noWrap/>
            <w:vAlign w:val="center"/>
            <w:hideMark/>
          </w:tcPr>
          <w:p w:rsidR="00ED2B37" w:rsidRDefault="004632C5">
            <w:pPr>
              <w:spacing w:before="40" w:after="40" w:line="240" w:lineRule="auto"/>
              <w:rPr>
                <w:rFonts w:eastAsia="MS Mincho" w:cs="Times New Roman"/>
                <w:szCs w:val="22"/>
              </w:rPr>
            </w:pPr>
            <w:r>
              <w:rPr>
                <w:rFonts w:eastAsia="MS Mincho" w:cs="Times New Roman"/>
                <w:b w:val="0"/>
                <w:szCs w:val="22"/>
              </w:rPr>
              <w:t xml:space="preserve">Government </w:t>
            </w:r>
            <w:r>
              <w:rPr>
                <w:rFonts w:eastAsia="MS Mincho" w:cs="Times New Roman"/>
                <w:b w:val="0"/>
                <w:szCs w:val="22"/>
              </w:rPr>
              <w:t>Grants Commonwealth</w:t>
            </w:r>
          </w:p>
        </w:tc>
        <w:tc>
          <w:tcPr>
            <w:tcW w:w="1425" w:type="pct"/>
            <w:tcBorders>
              <w:top w:val="nil"/>
              <w:left w:val="single" w:sz="4" w:space="0" w:color="FFFFFF"/>
              <w:bottom w:val="nil"/>
            </w:tcBorders>
            <w:shd w:val="clear" w:color="auto" w:fill="D9D9D9"/>
            <w:noWrap/>
            <w:vAlign w:val="center"/>
          </w:tcPr>
          <w:p w:rsidR="00ED2B37" w:rsidRDefault="004632C5">
            <w:pPr>
              <w:jc w:val="right"/>
              <w:cnfStyle w:val="000000100000" w:firstRow="0" w:lastRow="0" w:firstColumn="0" w:lastColumn="0" w:oddVBand="0" w:evenVBand="0" w:oddHBand="1" w:evenHBand="0" w:firstRowFirstColumn="0" w:firstRowLastColumn="0" w:lastRowFirstColumn="0" w:lastRowLastColumn="0"/>
            </w:pPr>
            <w:r>
              <w:t>$5,100</w:t>
            </w:r>
          </w:p>
        </w:tc>
      </w:tr>
      <w:tr w:rsidR="004161F2" w:rsidTr="004161F2">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nil"/>
              <w:bottom w:val="nil"/>
              <w:right w:val="single" w:sz="4" w:space="0" w:color="FFFFFF"/>
            </w:tcBorders>
            <w:noWrap/>
            <w:vAlign w:val="center"/>
            <w:hideMark/>
          </w:tcPr>
          <w:p w:rsidR="00ED2B37" w:rsidRDefault="004632C5">
            <w:pPr>
              <w:spacing w:before="40" w:after="40" w:line="240" w:lineRule="auto"/>
              <w:rPr>
                <w:rFonts w:eastAsia="MS Mincho" w:cs="Times New Roman"/>
                <w:szCs w:val="22"/>
              </w:rPr>
            </w:pPr>
            <w:r>
              <w:rPr>
                <w:rFonts w:eastAsia="MS Mincho" w:cs="Times New Roman"/>
                <w:b w:val="0"/>
                <w:szCs w:val="22"/>
              </w:rPr>
              <w:t>Government Grants State</w:t>
            </w:r>
          </w:p>
        </w:tc>
        <w:tc>
          <w:tcPr>
            <w:tcW w:w="1425" w:type="pct"/>
            <w:tcBorders>
              <w:top w:val="nil"/>
              <w:left w:val="single" w:sz="4" w:space="0" w:color="FFFFFF"/>
              <w:bottom w:val="nil"/>
            </w:tcBorders>
            <w:noWrap/>
            <w:vAlign w:val="center"/>
          </w:tcPr>
          <w:p w:rsidR="00ED2B37" w:rsidRDefault="004632C5">
            <w:pPr>
              <w:jc w:val="right"/>
              <w:cnfStyle w:val="000000000000" w:firstRow="0" w:lastRow="0" w:firstColumn="0" w:lastColumn="0" w:oddVBand="0" w:evenVBand="0" w:oddHBand="0" w:evenHBand="0" w:firstRowFirstColumn="0" w:firstRowLastColumn="0" w:lastRowFirstColumn="0" w:lastRowLastColumn="0"/>
            </w:pPr>
            <w:r>
              <w:t>$0</w:t>
            </w:r>
          </w:p>
        </w:tc>
      </w:tr>
      <w:tr w:rsidR="004161F2" w:rsidTr="004161F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nil"/>
              <w:bottom w:val="nil"/>
              <w:right w:val="single" w:sz="4" w:space="0" w:color="FFFFFF"/>
            </w:tcBorders>
            <w:shd w:val="clear" w:color="auto" w:fill="D9D9D9"/>
            <w:noWrap/>
            <w:vAlign w:val="center"/>
            <w:hideMark/>
          </w:tcPr>
          <w:p w:rsidR="00ED2B37" w:rsidRDefault="004632C5">
            <w:pPr>
              <w:spacing w:before="40" w:after="40" w:line="240" w:lineRule="auto"/>
              <w:rPr>
                <w:rFonts w:eastAsia="MS Mincho" w:cs="Times New Roman"/>
                <w:szCs w:val="22"/>
              </w:rPr>
            </w:pPr>
            <w:r>
              <w:rPr>
                <w:rFonts w:eastAsia="MS Mincho" w:cs="Times New Roman"/>
                <w:b w:val="0"/>
                <w:szCs w:val="22"/>
              </w:rPr>
              <w:t>Revenue Other</w:t>
            </w:r>
          </w:p>
        </w:tc>
        <w:tc>
          <w:tcPr>
            <w:tcW w:w="1425" w:type="pct"/>
            <w:tcBorders>
              <w:top w:val="nil"/>
              <w:left w:val="single" w:sz="4" w:space="0" w:color="FFFFFF"/>
              <w:bottom w:val="nil"/>
            </w:tcBorders>
            <w:shd w:val="clear" w:color="auto" w:fill="D9D9D9"/>
            <w:noWrap/>
            <w:vAlign w:val="center"/>
          </w:tcPr>
          <w:p w:rsidR="00ED2B37" w:rsidRDefault="004632C5">
            <w:pPr>
              <w:jc w:val="right"/>
              <w:cnfStyle w:val="000000100000" w:firstRow="0" w:lastRow="0" w:firstColumn="0" w:lastColumn="0" w:oddVBand="0" w:evenVBand="0" w:oddHBand="1" w:evenHBand="0" w:firstRowFirstColumn="0" w:firstRowLastColumn="0" w:lastRowFirstColumn="0" w:lastRowLastColumn="0"/>
            </w:pPr>
            <w:r>
              <w:t>$8,926</w:t>
            </w:r>
          </w:p>
        </w:tc>
      </w:tr>
      <w:tr w:rsidR="004161F2" w:rsidTr="004161F2">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nil"/>
              <w:bottom w:val="nil"/>
              <w:right w:val="nil"/>
            </w:tcBorders>
            <w:shd w:val="clear" w:color="auto" w:fill="auto"/>
            <w:noWrap/>
            <w:vAlign w:val="center"/>
          </w:tcPr>
          <w:p w:rsidR="00ED2B37" w:rsidRDefault="004632C5">
            <w:pPr>
              <w:spacing w:before="40" w:after="40" w:line="240" w:lineRule="auto"/>
              <w:rPr>
                <w:rFonts w:eastAsia="MS Mincho" w:cs="Times New Roman"/>
                <w:szCs w:val="22"/>
              </w:rPr>
            </w:pPr>
            <w:r>
              <w:rPr>
                <w:rFonts w:eastAsia="MS Mincho" w:cs="Times New Roman"/>
                <w:b w:val="0"/>
                <w:szCs w:val="22"/>
              </w:rPr>
              <w:t>Locally Raised Funds</w:t>
            </w:r>
          </w:p>
        </w:tc>
        <w:tc>
          <w:tcPr>
            <w:tcW w:w="1425" w:type="pct"/>
            <w:tcBorders>
              <w:top w:val="nil"/>
              <w:left w:val="nil"/>
              <w:bottom w:val="nil"/>
            </w:tcBorders>
            <w:shd w:val="clear" w:color="auto" w:fill="auto"/>
            <w:noWrap/>
            <w:vAlign w:val="center"/>
          </w:tcPr>
          <w:p w:rsidR="00ED2B37" w:rsidRDefault="004632C5">
            <w:pPr>
              <w:jc w:val="right"/>
              <w:cnfStyle w:val="000000000000" w:firstRow="0" w:lastRow="0" w:firstColumn="0" w:lastColumn="0" w:oddVBand="0" w:evenVBand="0" w:oddHBand="0" w:evenHBand="0" w:firstRowFirstColumn="0" w:firstRowLastColumn="0" w:lastRowFirstColumn="0" w:lastRowLastColumn="0"/>
            </w:pPr>
            <w:r>
              <w:t>$129,453</w:t>
            </w:r>
          </w:p>
        </w:tc>
      </w:tr>
      <w:tr w:rsidR="004161F2" w:rsidTr="004161F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nil"/>
              <w:bottom w:val="single" w:sz="2" w:space="0" w:color="106CB5"/>
              <w:right w:val="nil"/>
            </w:tcBorders>
            <w:shd w:val="clear" w:color="auto" w:fill="D9D9D9"/>
            <w:noWrap/>
            <w:vAlign w:val="center"/>
          </w:tcPr>
          <w:p w:rsidR="00495A65" w:rsidRPr="00495A65" w:rsidRDefault="004632C5">
            <w:pPr>
              <w:spacing w:before="40" w:after="40" w:line="240" w:lineRule="auto"/>
              <w:rPr>
                <w:rFonts w:eastAsia="MS Mincho" w:cs="Times New Roman"/>
                <w:szCs w:val="22"/>
              </w:rPr>
            </w:pPr>
            <w:r w:rsidRPr="00495A65">
              <w:rPr>
                <w:rFonts w:eastAsia="MS Mincho" w:cs="Times New Roman"/>
                <w:b w:val="0"/>
                <w:szCs w:val="22"/>
              </w:rPr>
              <w:t>Capital Grants</w:t>
            </w:r>
          </w:p>
        </w:tc>
        <w:tc>
          <w:tcPr>
            <w:tcW w:w="1425" w:type="pct"/>
            <w:tcBorders>
              <w:top w:val="nil"/>
              <w:left w:val="nil"/>
              <w:bottom w:val="single" w:sz="2" w:space="0" w:color="106CB5"/>
            </w:tcBorders>
            <w:shd w:val="clear" w:color="auto" w:fill="D9D9D9"/>
            <w:noWrap/>
            <w:vAlign w:val="center"/>
          </w:tcPr>
          <w:p w:rsidR="00495A65" w:rsidRDefault="004632C5">
            <w:pPr>
              <w:jc w:val="right"/>
              <w:cnfStyle w:val="000000100000" w:firstRow="0" w:lastRow="0" w:firstColumn="0" w:lastColumn="0" w:oddVBand="0" w:evenVBand="0" w:oddHBand="1" w:evenHBand="0" w:firstRowFirstColumn="0" w:firstRowLastColumn="0" w:lastRowFirstColumn="0" w:lastRowLastColumn="0"/>
            </w:pPr>
            <w:r>
              <w:t>$0</w:t>
            </w:r>
          </w:p>
        </w:tc>
      </w:tr>
      <w:tr w:rsidR="004161F2" w:rsidTr="004161F2">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single" w:sz="2" w:space="0" w:color="106CB5"/>
              <w:bottom w:val="single" w:sz="2" w:space="0" w:color="106CB5"/>
            </w:tcBorders>
            <w:noWrap/>
            <w:vAlign w:val="center"/>
            <w:hideMark/>
          </w:tcPr>
          <w:p w:rsidR="00ED2B37" w:rsidRDefault="004632C5">
            <w:pPr>
              <w:spacing w:before="40" w:after="40" w:line="240" w:lineRule="auto"/>
              <w:rPr>
                <w:rFonts w:eastAsia="MS Mincho" w:cs="Times New Roman"/>
                <w:szCs w:val="22"/>
              </w:rPr>
            </w:pPr>
            <w:r>
              <w:rPr>
                <w:rFonts w:eastAsia="MS Mincho" w:cs="Times New Roman"/>
                <w:szCs w:val="22"/>
              </w:rPr>
              <w:t>Total Operating Revenue</w:t>
            </w:r>
          </w:p>
        </w:tc>
        <w:tc>
          <w:tcPr>
            <w:tcW w:w="1425" w:type="pct"/>
            <w:tcBorders>
              <w:top w:val="single" w:sz="2" w:space="0" w:color="106CB5"/>
              <w:bottom w:val="single" w:sz="2" w:space="0" w:color="106CB5"/>
            </w:tcBorders>
            <w:noWrap/>
            <w:vAlign w:val="center"/>
          </w:tcPr>
          <w:p w:rsidR="00ED2B37" w:rsidRDefault="004632C5">
            <w:pPr>
              <w:jc w:val="right"/>
              <w:cnfStyle w:val="000000000000" w:firstRow="0" w:lastRow="0" w:firstColumn="0" w:lastColumn="0" w:oddVBand="0" w:evenVBand="0" w:oddHBand="0" w:evenHBand="0" w:firstRowFirstColumn="0" w:firstRowLastColumn="0" w:lastRowFirstColumn="0" w:lastRowLastColumn="0"/>
            </w:pPr>
            <w:r>
              <w:t>$1,797,380</w:t>
            </w:r>
          </w:p>
        </w:tc>
      </w:tr>
    </w:tbl>
    <w:p w:rsidR="00ED2B37" w:rsidRDefault="004632C5">
      <w:pPr>
        <w:spacing w:after="0" w:line="240" w:lineRule="auto"/>
        <w:rPr>
          <w:rFonts w:eastAsia="MS Mincho"/>
        </w:rPr>
      </w:pPr>
    </w:p>
    <w:tbl>
      <w:tblPr>
        <w:tblStyle w:val="GridTable2-Accent6121"/>
        <w:tblW w:w="2876" w:type="pct"/>
        <w:jc w:val="center"/>
        <w:tblLook w:val="04A0" w:firstRow="1" w:lastRow="0" w:firstColumn="1" w:lastColumn="0" w:noHBand="0" w:noVBand="1"/>
        <w:tblCaption w:val="FInance - Equity Table"/>
      </w:tblPr>
      <w:tblGrid>
        <w:gridCol w:w="4428"/>
        <w:gridCol w:w="1765"/>
      </w:tblGrid>
      <w:tr w:rsidR="004161F2" w:rsidTr="004161F2">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228" w:type="pct"/>
            <w:shd w:val="clear" w:color="auto" w:fill="106CB5"/>
            <w:noWrap/>
            <w:vAlign w:val="center"/>
          </w:tcPr>
          <w:p w:rsidR="00ED2B37" w:rsidRDefault="004632C5">
            <w:pPr>
              <w:spacing w:before="40" w:after="40" w:line="240" w:lineRule="auto"/>
              <w:rPr>
                <w:rFonts w:eastAsia="MS Mincho" w:cs="Times New Roman"/>
                <w:color w:val="FFFFFF"/>
                <w:szCs w:val="22"/>
              </w:rPr>
            </w:pPr>
            <w:r>
              <w:rPr>
                <w:rFonts w:cs="Times New Roman"/>
                <w:b w:val="0"/>
                <w:color w:val="FFFFFF"/>
                <w:szCs w:val="22"/>
              </w:rPr>
              <w:t xml:space="preserve">Equity </w:t>
            </w:r>
            <w:r>
              <w:rPr>
                <w:rFonts w:cs="Times New Roman"/>
                <w:b w:val="0"/>
                <w:color w:val="FFFFFF"/>
                <w:szCs w:val="22"/>
                <w:vertAlign w:val="superscript"/>
              </w:rPr>
              <w:t>1</w:t>
            </w:r>
          </w:p>
        </w:tc>
        <w:tc>
          <w:tcPr>
            <w:tcW w:w="1772" w:type="pct"/>
            <w:shd w:val="clear" w:color="auto" w:fill="106CB5"/>
            <w:noWrap/>
            <w:vAlign w:val="center"/>
          </w:tcPr>
          <w:p w:rsidR="00ED2B37" w:rsidRDefault="004632C5">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eastAsia="MS Mincho" w:cs="Times New Roman"/>
                <w:color w:val="FFFFFF"/>
                <w:szCs w:val="22"/>
              </w:rPr>
            </w:pPr>
            <w:r>
              <w:rPr>
                <w:rFonts w:cs="Times New Roman"/>
                <w:b w:val="0"/>
                <w:color w:val="FFFFFF"/>
                <w:szCs w:val="22"/>
              </w:rPr>
              <w:t>Actual</w:t>
            </w:r>
          </w:p>
        </w:tc>
      </w:tr>
      <w:tr w:rsidR="004161F2" w:rsidTr="004161F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single" w:sz="12" w:space="0" w:color="FFFFFF"/>
              <w:bottom w:val="nil"/>
            </w:tcBorders>
            <w:shd w:val="clear" w:color="auto" w:fill="D9D9D9"/>
            <w:noWrap/>
            <w:vAlign w:val="center"/>
          </w:tcPr>
          <w:p w:rsidR="00ED2B37" w:rsidRDefault="004632C5">
            <w:pPr>
              <w:spacing w:before="40" w:after="40" w:line="240" w:lineRule="auto"/>
              <w:rPr>
                <w:rFonts w:eastAsia="MS Mincho" w:cs="Times New Roman"/>
                <w:szCs w:val="22"/>
              </w:rPr>
            </w:pPr>
            <w:r>
              <w:rPr>
                <w:rFonts w:cs="Times New Roman"/>
                <w:b w:val="0"/>
                <w:szCs w:val="22"/>
              </w:rPr>
              <w:t>Equity (Social Disadvantage)</w:t>
            </w:r>
          </w:p>
        </w:tc>
        <w:tc>
          <w:tcPr>
            <w:tcW w:w="1772" w:type="pct"/>
            <w:tcBorders>
              <w:top w:val="single" w:sz="12" w:space="0" w:color="FFFFFF"/>
              <w:bottom w:val="nil"/>
            </w:tcBorders>
            <w:shd w:val="clear" w:color="auto" w:fill="D9D9D9"/>
            <w:noWrap/>
            <w:vAlign w:val="center"/>
          </w:tcPr>
          <w:p w:rsidR="00ED2B37" w:rsidRDefault="004632C5">
            <w:pPr>
              <w:jc w:val="right"/>
              <w:cnfStyle w:val="000000100000" w:firstRow="0" w:lastRow="0" w:firstColumn="0" w:lastColumn="0" w:oddVBand="0" w:evenVBand="0" w:oddHBand="1" w:evenHBand="0" w:firstRowFirstColumn="0" w:firstRowLastColumn="0" w:lastRowFirstColumn="0" w:lastRowLastColumn="0"/>
            </w:pPr>
            <w:r>
              <w:t>$19,867</w:t>
            </w:r>
          </w:p>
        </w:tc>
      </w:tr>
      <w:tr w:rsidR="004161F2" w:rsidTr="004161F2">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nil"/>
              <w:bottom w:val="nil"/>
              <w:right w:val="nil"/>
            </w:tcBorders>
            <w:shd w:val="clear" w:color="auto" w:fill="auto"/>
            <w:noWrap/>
            <w:vAlign w:val="center"/>
          </w:tcPr>
          <w:p w:rsidR="00ED2B37" w:rsidRDefault="004632C5">
            <w:pPr>
              <w:spacing w:before="40" w:after="40" w:line="240" w:lineRule="auto"/>
              <w:rPr>
                <w:rFonts w:eastAsia="MS Mincho" w:cs="Times New Roman"/>
                <w:szCs w:val="22"/>
              </w:rPr>
            </w:pPr>
            <w:r>
              <w:rPr>
                <w:rFonts w:cs="Times New Roman"/>
                <w:b w:val="0"/>
                <w:szCs w:val="22"/>
              </w:rPr>
              <w:t>Equity (Catch Up)</w:t>
            </w:r>
          </w:p>
        </w:tc>
        <w:tc>
          <w:tcPr>
            <w:tcW w:w="1772" w:type="pct"/>
            <w:tcBorders>
              <w:top w:val="nil"/>
              <w:left w:val="nil"/>
              <w:bottom w:val="nil"/>
            </w:tcBorders>
            <w:shd w:val="clear" w:color="auto" w:fill="auto"/>
            <w:noWrap/>
            <w:vAlign w:val="center"/>
          </w:tcPr>
          <w:p w:rsidR="00ED2B37" w:rsidRDefault="004632C5">
            <w:pPr>
              <w:jc w:val="right"/>
              <w:cnfStyle w:val="000000000000" w:firstRow="0" w:lastRow="0" w:firstColumn="0" w:lastColumn="0" w:oddVBand="0" w:evenVBand="0" w:oddHBand="0" w:evenHBand="0" w:firstRowFirstColumn="0" w:firstRowLastColumn="0" w:lastRowFirstColumn="0" w:lastRowLastColumn="0"/>
            </w:pPr>
            <w:r>
              <w:t>$0</w:t>
            </w:r>
          </w:p>
        </w:tc>
      </w:tr>
      <w:tr w:rsidR="004161F2" w:rsidTr="004161F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nil"/>
              <w:bottom w:val="nil"/>
            </w:tcBorders>
            <w:shd w:val="clear" w:color="auto" w:fill="D9D9D9"/>
            <w:noWrap/>
            <w:vAlign w:val="center"/>
          </w:tcPr>
          <w:p w:rsidR="00ED2B37" w:rsidRDefault="004632C5">
            <w:pPr>
              <w:spacing w:before="40" w:after="40" w:line="240" w:lineRule="auto"/>
              <w:rPr>
                <w:rFonts w:eastAsia="MS Mincho" w:cs="Times New Roman"/>
                <w:szCs w:val="22"/>
              </w:rPr>
            </w:pPr>
            <w:r>
              <w:rPr>
                <w:rFonts w:cs="Times New Roman"/>
                <w:b w:val="0"/>
                <w:szCs w:val="22"/>
              </w:rPr>
              <w:t xml:space="preserve">Transition </w:t>
            </w:r>
            <w:r>
              <w:rPr>
                <w:rFonts w:cs="Times New Roman"/>
                <w:b w:val="0"/>
                <w:szCs w:val="22"/>
              </w:rPr>
              <w:t>Funding</w:t>
            </w:r>
          </w:p>
        </w:tc>
        <w:tc>
          <w:tcPr>
            <w:tcW w:w="1772" w:type="pct"/>
            <w:tcBorders>
              <w:top w:val="nil"/>
              <w:bottom w:val="nil"/>
            </w:tcBorders>
            <w:shd w:val="clear" w:color="auto" w:fill="D9D9D9"/>
            <w:noWrap/>
            <w:vAlign w:val="center"/>
          </w:tcPr>
          <w:p w:rsidR="00ED2B37" w:rsidRDefault="004632C5">
            <w:pPr>
              <w:jc w:val="right"/>
              <w:cnfStyle w:val="000000100000" w:firstRow="0" w:lastRow="0" w:firstColumn="0" w:lastColumn="0" w:oddVBand="0" w:evenVBand="0" w:oddHBand="1" w:evenHBand="0" w:firstRowFirstColumn="0" w:firstRowLastColumn="0" w:lastRowFirstColumn="0" w:lastRowLastColumn="0"/>
            </w:pPr>
            <w:r>
              <w:t>$0</w:t>
            </w:r>
          </w:p>
        </w:tc>
      </w:tr>
      <w:tr w:rsidR="004161F2" w:rsidTr="004161F2">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nil"/>
              <w:bottom w:val="single" w:sz="2" w:space="0" w:color="106CB5"/>
            </w:tcBorders>
            <w:shd w:val="clear" w:color="auto" w:fill="auto"/>
            <w:noWrap/>
            <w:vAlign w:val="center"/>
          </w:tcPr>
          <w:p w:rsidR="00ED2B37" w:rsidRDefault="004632C5">
            <w:pPr>
              <w:spacing w:before="40" w:after="40"/>
              <w:rPr>
                <w:rFonts w:cs="Times New Roman"/>
                <w:szCs w:val="22"/>
              </w:rPr>
            </w:pPr>
            <w:r>
              <w:rPr>
                <w:rFonts w:cs="Times New Roman"/>
                <w:b w:val="0"/>
                <w:szCs w:val="22"/>
              </w:rPr>
              <w:t>Equity (Social Disadvantage – Extraordinary Growth)</w:t>
            </w:r>
          </w:p>
          <w:p w:rsidR="00ED2B37" w:rsidRDefault="004632C5">
            <w:pPr>
              <w:spacing w:before="40" w:after="40" w:line="240" w:lineRule="auto"/>
              <w:rPr>
                <w:rFonts w:eastAsia="MS Mincho" w:cs="Times New Roman"/>
                <w:color w:val="FFFFFF"/>
                <w:szCs w:val="22"/>
              </w:rPr>
            </w:pPr>
          </w:p>
        </w:tc>
        <w:tc>
          <w:tcPr>
            <w:tcW w:w="1772" w:type="pct"/>
            <w:tcBorders>
              <w:top w:val="nil"/>
              <w:bottom w:val="single" w:sz="2" w:space="0" w:color="106CB5"/>
            </w:tcBorders>
            <w:shd w:val="clear" w:color="auto" w:fill="auto"/>
            <w:noWrap/>
            <w:vAlign w:val="center"/>
          </w:tcPr>
          <w:p w:rsidR="00ED2B37" w:rsidRDefault="004632C5">
            <w:pPr>
              <w:jc w:val="right"/>
              <w:cnfStyle w:val="000000000000" w:firstRow="0" w:lastRow="0" w:firstColumn="0" w:lastColumn="0" w:oddVBand="0" w:evenVBand="0" w:oddHBand="0" w:evenHBand="0" w:firstRowFirstColumn="0" w:firstRowLastColumn="0" w:lastRowFirstColumn="0" w:lastRowLastColumn="0"/>
            </w:pPr>
            <w:r>
              <w:t>$0</w:t>
            </w:r>
          </w:p>
        </w:tc>
      </w:tr>
      <w:tr w:rsidR="004161F2" w:rsidTr="004161F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single" w:sz="2" w:space="0" w:color="106CB5"/>
              <w:bottom w:val="single" w:sz="2" w:space="0" w:color="106CB5"/>
            </w:tcBorders>
            <w:shd w:val="clear" w:color="auto" w:fill="auto"/>
            <w:noWrap/>
            <w:vAlign w:val="center"/>
          </w:tcPr>
          <w:p w:rsidR="00ED2B37" w:rsidRDefault="004632C5">
            <w:pPr>
              <w:spacing w:before="40" w:after="40"/>
              <w:rPr>
                <w:rFonts w:cs="Times New Roman"/>
                <w:szCs w:val="22"/>
              </w:rPr>
            </w:pPr>
            <w:r>
              <w:rPr>
                <w:rFonts w:cs="Times New Roman"/>
                <w:szCs w:val="22"/>
              </w:rPr>
              <w:t>Equity Total</w:t>
            </w:r>
          </w:p>
        </w:tc>
        <w:tc>
          <w:tcPr>
            <w:tcW w:w="1772" w:type="pct"/>
            <w:tcBorders>
              <w:top w:val="single" w:sz="2" w:space="0" w:color="106CB5"/>
              <w:bottom w:val="single" w:sz="2" w:space="0" w:color="106CB5"/>
            </w:tcBorders>
            <w:shd w:val="clear" w:color="auto" w:fill="auto"/>
            <w:noWrap/>
            <w:vAlign w:val="center"/>
          </w:tcPr>
          <w:p w:rsidR="00ED2B37" w:rsidRDefault="004632C5">
            <w:pPr>
              <w:jc w:val="right"/>
              <w:cnfStyle w:val="000000100000" w:firstRow="0" w:lastRow="0" w:firstColumn="0" w:lastColumn="0" w:oddVBand="0" w:evenVBand="0" w:oddHBand="1" w:evenHBand="0" w:firstRowFirstColumn="0" w:firstRowLastColumn="0" w:lastRowFirstColumn="0" w:lastRowLastColumn="0"/>
            </w:pPr>
            <w:r>
              <w:t>$19,867</w:t>
            </w:r>
          </w:p>
        </w:tc>
      </w:tr>
    </w:tbl>
    <w:p w:rsidR="00ED2B37" w:rsidRDefault="004632C5">
      <w:pPr>
        <w:spacing w:after="0" w:line="240" w:lineRule="auto"/>
        <w:rPr>
          <w:rFonts w:eastAsia="MS Mincho"/>
        </w:rPr>
      </w:pPr>
    </w:p>
    <w:tbl>
      <w:tblPr>
        <w:tblStyle w:val="GridTable2-Accent612"/>
        <w:tblW w:w="2876" w:type="pct"/>
        <w:jc w:val="center"/>
        <w:tblLook w:val="04A0" w:firstRow="1" w:lastRow="0" w:firstColumn="1" w:lastColumn="0" w:noHBand="0" w:noVBand="1"/>
        <w:tblCaption w:val="Finance - Expenditure table"/>
      </w:tblPr>
      <w:tblGrid>
        <w:gridCol w:w="3997"/>
        <w:gridCol w:w="2196"/>
      </w:tblGrid>
      <w:tr w:rsidR="004161F2" w:rsidTr="004161F2">
        <w:trPr>
          <w:cnfStyle w:val="100000000000" w:firstRow="1" w:lastRow="0" w:firstColumn="0" w:lastColumn="0" w:oddVBand="0" w:evenVBand="0" w:oddHBand="0" w:evenHBand="0" w:firstRowFirstColumn="0" w:firstRowLastColumn="0" w:lastRowFirstColumn="0" w:lastRowLastColumn="0"/>
          <w:trHeight w:hRule="exact" w:val="454"/>
          <w:tblHeader/>
          <w:jc w:val="center"/>
        </w:trPr>
        <w:tc>
          <w:tcPr>
            <w:cnfStyle w:val="001000000000" w:firstRow="0" w:lastRow="0" w:firstColumn="1" w:lastColumn="0" w:oddVBand="0" w:evenVBand="0" w:oddHBand="0" w:evenHBand="0" w:firstRowFirstColumn="0" w:firstRowLastColumn="0" w:lastRowFirstColumn="0" w:lastRowLastColumn="0"/>
            <w:tcW w:w="3227" w:type="pct"/>
            <w:shd w:val="clear" w:color="auto" w:fill="106CB5"/>
            <w:vAlign w:val="center"/>
            <w:hideMark/>
          </w:tcPr>
          <w:p w:rsidR="00ED2B37" w:rsidRDefault="004632C5">
            <w:pPr>
              <w:spacing w:before="40" w:after="40" w:line="240" w:lineRule="auto"/>
              <w:rPr>
                <w:rFonts w:eastAsia="MS Mincho" w:cs="Times New Roman"/>
                <w:color w:val="FFFFFF"/>
                <w:szCs w:val="22"/>
                <w:lang w:val="en-US"/>
              </w:rPr>
            </w:pPr>
            <w:r>
              <w:rPr>
                <w:rFonts w:eastAsia="MS Mincho" w:cs="Times New Roman"/>
                <w:b w:val="0"/>
                <w:bCs w:val="0"/>
                <w:color w:val="FFFFFF"/>
                <w:szCs w:val="22"/>
                <w:lang w:val="en-US"/>
              </w:rPr>
              <w:t>Expenditure</w:t>
            </w:r>
          </w:p>
        </w:tc>
        <w:tc>
          <w:tcPr>
            <w:tcW w:w="1773" w:type="pct"/>
            <w:shd w:val="clear" w:color="auto" w:fill="106CB5"/>
            <w:vAlign w:val="center"/>
            <w:hideMark/>
          </w:tcPr>
          <w:p w:rsidR="00ED2B37" w:rsidRDefault="004632C5">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eastAsia="MS Mincho" w:cs="Times New Roman"/>
                <w:color w:val="FFFFFF"/>
                <w:szCs w:val="22"/>
                <w:lang w:val="en-US"/>
              </w:rPr>
            </w:pPr>
            <w:r>
              <w:rPr>
                <w:rFonts w:eastAsia="MS Mincho" w:cs="Times New Roman"/>
                <w:b w:val="0"/>
                <w:bCs w:val="0"/>
                <w:color w:val="FFFFFF"/>
                <w:szCs w:val="22"/>
                <w:lang w:val="en-US"/>
              </w:rPr>
              <w:t>Actual</w:t>
            </w:r>
          </w:p>
        </w:tc>
      </w:tr>
      <w:tr w:rsidR="004161F2" w:rsidTr="004161F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7" w:type="pct"/>
            <w:tcBorders>
              <w:top w:val="single" w:sz="12" w:space="0" w:color="FFFFFF"/>
              <w:bottom w:val="nil"/>
              <w:right w:val="single" w:sz="4" w:space="0" w:color="FFFFFF"/>
            </w:tcBorders>
            <w:shd w:val="clear" w:color="auto" w:fill="D9D9D9"/>
            <w:noWrap/>
            <w:vAlign w:val="center"/>
            <w:hideMark/>
          </w:tcPr>
          <w:p w:rsidR="00ED2B37" w:rsidRDefault="004632C5">
            <w:pPr>
              <w:spacing w:before="40" w:after="40" w:line="240" w:lineRule="auto"/>
              <w:rPr>
                <w:rFonts w:eastAsia="MS Mincho" w:cs="Times New Roman"/>
                <w:szCs w:val="22"/>
                <w:lang w:val="en-US"/>
              </w:rPr>
            </w:pPr>
            <w:r>
              <w:rPr>
                <w:rFonts w:eastAsia="MS Mincho" w:cs="Times New Roman"/>
                <w:b w:val="0"/>
                <w:bCs w:val="0"/>
                <w:szCs w:val="22"/>
                <w:lang w:val="en-US"/>
              </w:rPr>
              <w:t xml:space="preserve">Student Resource Package </w:t>
            </w:r>
            <w:r>
              <w:rPr>
                <w:rFonts w:eastAsia="MS Mincho" w:cs="Times New Roman"/>
                <w:b w:val="0"/>
                <w:bCs w:val="0"/>
                <w:szCs w:val="22"/>
                <w:vertAlign w:val="superscript"/>
                <w:lang w:val="en-US"/>
              </w:rPr>
              <w:t>2</w:t>
            </w:r>
          </w:p>
        </w:tc>
        <w:tc>
          <w:tcPr>
            <w:tcW w:w="1773" w:type="pct"/>
            <w:tcBorders>
              <w:top w:val="single" w:sz="12" w:space="0" w:color="FFFFFF"/>
              <w:left w:val="single" w:sz="4" w:space="0" w:color="FFFFFF"/>
              <w:bottom w:val="nil"/>
            </w:tcBorders>
            <w:shd w:val="clear" w:color="auto" w:fill="D9D9D9"/>
            <w:noWrap/>
            <w:vAlign w:val="center"/>
          </w:tcPr>
          <w:p w:rsidR="00ED2B37" w:rsidRDefault="004632C5">
            <w:pPr>
              <w:jc w:val="right"/>
              <w:cnfStyle w:val="000000100000" w:firstRow="0" w:lastRow="0" w:firstColumn="0" w:lastColumn="0" w:oddVBand="0" w:evenVBand="0" w:oddHBand="1" w:evenHBand="0" w:firstRowFirstColumn="0" w:firstRowLastColumn="0" w:lastRowFirstColumn="0" w:lastRowLastColumn="0"/>
            </w:pPr>
            <w:r>
              <w:t>$1,342,897</w:t>
            </w:r>
          </w:p>
        </w:tc>
      </w:tr>
      <w:tr w:rsidR="004161F2" w:rsidTr="004161F2">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227" w:type="pct"/>
            <w:tcBorders>
              <w:top w:val="nil"/>
              <w:bottom w:val="nil"/>
              <w:right w:val="single" w:sz="4" w:space="0" w:color="FFFFFF"/>
            </w:tcBorders>
            <w:noWrap/>
            <w:vAlign w:val="center"/>
            <w:hideMark/>
          </w:tcPr>
          <w:p w:rsidR="00ED2B37" w:rsidRDefault="004632C5">
            <w:pPr>
              <w:spacing w:before="40" w:after="40" w:line="240" w:lineRule="auto"/>
              <w:rPr>
                <w:rFonts w:eastAsia="MS Mincho" w:cs="Times New Roman"/>
                <w:szCs w:val="22"/>
                <w:lang w:val="en-US"/>
              </w:rPr>
            </w:pPr>
            <w:r>
              <w:rPr>
                <w:rFonts w:eastAsia="MS Mincho" w:cs="Times New Roman"/>
                <w:b w:val="0"/>
                <w:bCs w:val="0"/>
                <w:szCs w:val="22"/>
                <w:lang w:val="en-US"/>
              </w:rPr>
              <w:t>Adjustments</w:t>
            </w:r>
          </w:p>
        </w:tc>
        <w:tc>
          <w:tcPr>
            <w:tcW w:w="1773" w:type="pct"/>
            <w:tcBorders>
              <w:top w:val="nil"/>
              <w:left w:val="single" w:sz="4" w:space="0" w:color="FFFFFF"/>
              <w:bottom w:val="nil"/>
            </w:tcBorders>
            <w:noWrap/>
            <w:vAlign w:val="center"/>
          </w:tcPr>
          <w:p w:rsidR="00ED2B37" w:rsidRDefault="004632C5">
            <w:pPr>
              <w:jc w:val="right"/>
              <w:cnfStyle w:val="000000000000" w:firstRow="0" w:lastRow="0" w:firstColumn="0" w:lastColumn="0" w:oddVBand="0" w:evenVBand="0" w:oddHBand="0" w:evenHBand="0" w:firstRowFirstColumn="0" w:firstRowLastColumn="0" w:lastRowFirstColumn="0" w:lastRowLastColumn="0"/>
            </w:pPr>
            <w:r>
              <w:t>$0</w:t>
            </w:r>
          </w:p>
        </w:tc>
      </w:tr>
      <w:tr w:rsidR="004161F2" w:rsidTr="004161F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7" w:type="pct"/>
            <w:tcBorders>
              <w:top w:val="nil"/>
              <w:bottom w:val="nil"/>
              <w:right w:val="single" w:sz="4" w:space="0" w:color="FFFFFF"/>
            </w:tcBorders>
            <w:shd w:val="clear" w:color="auto" w:fill="D9D9D9"/>
            <w:noWrap/>
            <w:vAlign w:val="center"/>
          </w:tcPr>
          <w:p w:rsidR="00ED2B37" w:rsidRDefault="004632C5">
            <w:pPr>
              <w:spacing w:before="40" w:after="40" w:line="240" w:lineRule="auto"/>
              <w:rPr>
                <w:rFonts w:eastAsia="MS Mincho" w:cs="Times New Roman"/>
                <w:szCs w:val="22"/>
                <w:lang w:val="en-US"/>
              </w:rPr>
            </w:pPr>
            <w:r>
              <w:rPr>
                <w:rFonts w:eastAsia="MS Mincho" w:cs="Times New Roman"/>
                <w:b w:val="0"/>
                <w:bCs w:val="0"/>
                <w:szCs w:val="22"/>
                <w:lang w:val="en-US"/>
              </w:rPr>
              <w:t>Books &amp; Publications</w:t>
            </w:r>
          </w:p>
        </w:tc>
        <w:tc>
          <w:tcPr>
            <w:tcW w:w="1773" w:type="pct"/>
            <w:tcBorders>
              <w:top w:val="nil"/>
              <w:left w:val="single" w:sz="4" w:space="0" w:color="FFFFFF"/>
              <w:bottom w:val="nil"/>
            </w:tcBorders>
            <w:shd w:val="clear" w:color="auto" w:fill="D9D9D9"/>
            <w:noWrap/>
            <w:vAlign w:val="center"/>
          </w:tcPr>
          <w:p w:rsidR="00ED2B37" w:rsidRDefault="004632C5">
            <w:pPr>
              <w:jc w:val="right"/>
              <w:cnfStyle w:val="000000100000" w:firstRow="0" w:lastRow="0" w:firstColumn="0" w:lastColumn="0" w:oddVBand="0" w:evenVBand="0" w:oddHBand="1" w:evenHBand="0" w:firstRowFirstColumn="0" w:firstRowLastColumn="0" w:lastRowFirstColumn="0" w:lastRowLastColumn="0"/>
            </w:pPr>
            <w:r>
              <w:t>$1,812</w:t>
            </w:r>
          </w:p>
        </w:tc>
      </w:tr>
      <w:tr w:rsidR="004161F2" w:rsidTr="004161F2">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227" w:type="pct"/>
            <w:tcBorders>
              <w:top w:val="nil"/>
              <w:bottom w:val="nil"/>
              <w:right w:val="nil"/>
            </w:tcBorders>
            <w:shd w:val="clear" w:color="auto" w:fill="auto"/>
            <w:noWrap/>
            <w:vAlign w:val="center"/>
          </w:tcPr>
          <w:p w:rsidR="00ED2B37" w:rsidRDefault="004632C5">
            <w:pPr>
              <w:spacing w:before="40" w:after="40" w:line="240" w:lineRule="auto"/>
              <w:rPr>
                <w:rFonts w:eastAsia="MS Mincho" w:cs="Times New Roman"/>
                <w:szCs w:val="22"/>
                <w:lang w:val="en-US"/>
              </w:rPr>
            </w:pPr>
            <w:r>
              <w:rPr>
                <w:rFonts w:eastAsia="MS Mincho" w:cs="Times New Roman"/>
                <w:b w:val="0"/>
                <w:bCs w:val="0"/>
                <w:szCs w:val="22"/>
                <w:lang w:val="en-US"/>
              </w:rPr>
              <w:t>Communication Costs</w:t>
            </w:r>
          </w:p>
        </w:tc>
        <w:tc>
          <w:tcPr>
            <w:tcW w:w="1773" w:type="pct"/>
            <w:tcBorders>
              <w:top w:val="nil"/>
              <w:left w:val="nil"/>
              <w:bottom w:val="nil"/>
            </w:tcBorders>
            <w:shd w:val="clear" w:color="auto" w:fill="auto"/>
            <w:noWrap/>
            <w:vAlign w:val="center"/>
          </w:tcPr>
          <w:p w:rsidR="00ED2B37" w:rsidRDefault="004632C5">
            <w:pPr>
              <w:jc w:val="right"/>
              <w:cnfStyle w:val="000000000000" w:firstRow="0" w:lastRow="0" w:firstColumn="0" w:lastColumn="0" w:oddVBand="0" w:evenVBand="0" w:oddHBand="0" w:evenHBand="0" w:firstRowFirstColumn="0" w:firstRowLastColumn="0" w:lastRowFirstColumn="0" w:lastRowLastColumn="0"/>
            </w:pPr>
            <w:r>
              <w:t>$2,925</w:t>
            </w:r>
          </w:p>
        </w:tc>
      </w:tr>
      <w:tr w:rsidR="004161F2" w:rsidTr="004161F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7" w:type="pct"/>
            <w:tcBorders>
              <w:top w:val="nil"/>
              <w:bottom w:val="nil"/>
              <w:right w:val="single" w:sz="4" w:space="0" w:color="FFFFFF"/>
            </w:tcBorders>
            <w:shd w:val="clear" w:color="auto" w:fill="D9D9D9"/>
            <w:noWrap/>
            <w:vAlign w:val="center"/>
          </w:tcPr>
          <w:p w:rsidR="00ED2B37" w:rsidRDefault="004632C5">
            <w:pPr>
              <w:spacing w:before="40" w:after="40" w:line="240" w:lineRule="auto"/>
              <w:rPr>
                <w:rFonts w:eastAsia="MS Mincho" w:cs="Times New Roman"/>
                <w:szCs w:val="22"/>
                <w:lang w:val="en-US"/>
              </w:rPr>
            </w:pPr>
            <w:r>
              <w:rPr>
                <w:rFonts w:eastAsia="MS Mincho" w:cs="Times New Roman"/>
                <w:b w:val="0"/>
                <w:bCs w:val="0"/>
                <w:szCs w:val="22"/>
                <w:lang w:val="en-US"/>
              </w:rPr>
              <w:t>Consumables</w:t>
            </w:r>
          </w:p>
        </w:tc>
        <w:tc>
          <w:tcPr>
            <w:tcW w:w="1773" w:type="pct"/>
            <w:tcBorders>
              <w:top w:val="nil"/>
              <w:left w:val="single" w:sz="4" w:space="0" w:color="FFFFFF"/>
              <w:bottom w:val="nil"/>
            </w:tcBorders>
            <w:shd w:val="clear" w:color="auto" w:fill="D9D9D9"/>
            <w:noWrap/>
            <w:vAlign w:val="center"/>
          </w:tcPr>
          <w:p w:rsidR="00ED2B37" w:rsidRDefault="004632C5">
            <w:pPr>
              <w:jc w:val="right"/>
              <w:cnfStyle w:val="000000100000" w:firstRow="0" w:lastRow="0" w:firstColumn="0" w:lastColumn="0" w:oddVBand="0" w:evenVBand="0" w:oddHBand="1" w:evenHBand="0" w:firstRowFirstColumn="0" w:firstRowLastColumn="0" w:lastRowFirstColumn="0" w:lastRowLastColumn="0"/>
            </w:pPr>
            <w:r>
              <w:t>$35,047</w:t>
            </w:r>
          </w:p>
        </w:tc>
      </w:tr>
      <w:tr w:rsidR="004161F2" w:rsidTr="004161F2">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227" w:type="pct"/>
            <w:tcBorders>
              <w:top w:val="nil"/>
              <w:bottom w:val="nil"/>
              <w:right w:val="nil"/>
            </w:tcBorders>
            <w:shd w:val="clear" w:color="auto" w:fill="auto"/>
            <w:noWrap/>
            <w:vAlign w:val="center"/>
          </w:tcPr>
          <w:p w:rsidR="00ED2B37" w:rsidRDefault="004632C5">
            <w:pPr>
              <w:spacing w:before="40" w:after="40" w:line="240" w:lineRule="auto"/>
              <w:rPr>
                <w:rFonts w:eastAsia="MS Mincho" w:cs="Times New Roman"/>
                <w:szCs w:val="22"/>
                <w:lang w:val="en-US"/>
              </w:rPr>
            </w:pPr>
            <w:r>
              <w:rPr>
                <w:rFonts w:eastAsia="MS Mincho" w:cs="Times New Roman"/>
                <w:b w:val="0"/>
                <w:bCs w:val="0"/>
                <w:szCs w:val="22"/>
                <w:lang w:val="en-US"/>
              </w:rPr>
              <w:t xml:space="preserve">Miscellaneous Expense </w:t>
            </w:r>
            <w:r>
              <w:rPr>
                <w:rFonts w:eastAsia="MS Mincho" w:cs="Times New Roman"/>
                <w:b w:val="0"/>
                <w:bCs w:val="0"/>
                <w:szCs w:val="22"/>
                <w:vertAlign w:val="superscript"/>
                <w:lang w:val="en-US"/>
              </w:rPr>
              <w:t>3</w:t>
            </w:r>
          </w:p>
        </w:tc>
        <w:tc>
          <w:tcPr>
            <w:tcW w:w="1773" w:type="pct"/>
            <w:tcBorders>
              <w:top w:val="nil"/>
              <w:left w:val="nil"/>
              <w:bottom w:val="nil"/>
            </w:tcBorders>
            <w:shd w:val="clear" w:color="auto" w:fill="auto"/>
            <w:noWrap/>
            <w:vAlign w:val="center"/>
          </w:tcPr>
          <w:p w:rsidR="00ED2B37" w:rsidRDefault="004632C5">
            <w:pPr>
              <w:jc w:val="right"/>
              <w:cnfStyle w:val="000000000000" w:firstRow="0" w:lastRow="0" w:firstColumn="0" w:lastColumn="0" w:oddVBand="0" w:evenVBand="0" w:oddHBand="0" w:evenHBand="0" w:firstRowFirstColumn="0" w:firstRowLastColumn="0" w:lastRowFirstColumn="0" w:lastRowLastColumn="0"/>
            </w:pPr>
            <w:r>
              <w:t>$71,713</w:t>
            </w:r>
          </w:p>
        </w:tc>
      </w:tr>
      <w:tr w:rsidR="004161F2" w:rsidTr="004161F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7" w:type="pct"/>
            <w:tcBorders>
              <w:top w:val="nil"/>
              <w:bottom w:val="nil"/>
            </w:tcBorders>
            <w:shd w:val="clear" w:color="auto" w:fill="D9D9D9"/>
            <w:noWrap/>
            <w:vAlign w:val="center"/>
          </w:tcPr>
          <w:p w:rsidR="00ED2B37" w:rsidRDefault="004632C5">
            <w:pPr>
              <w:spacing w:before="40" w:after="40" w:line="240" w:lineRule="auto"/>
              <w:rPr>
                <w:rFonts w:eastAsia="MS Mincho" w:cs="Times New Roman"/>
                <w:szCs w:val="22"/>
                <w:lang w:val="en-US"/>
              </w:rPr>
            </w:pPr>
            <w:r>
              <w:rPr>
                <w:rFonts w:eastAsia="MS Mincho" w:cs="Times New Roman"/>
                <w:b w:val="0"/>
                <w:bCs w:val="0"/>
                <w:szCs w:val="22"/>
                <w:lang w:val="en-US"/>
              </w:rPr>
              <w:t>Professional Development</w:t>
            </w:r>
          </w:p>
        </w:tc>
        <w:tc>
          <w:tcPr>
            <w:tcW w:w="1773" w:type="pct"/>
            <w:tcBorders>
              <w:top w:val="nil"/>
              <w:bottom w:val="nil"/>
            </w:tcBorders>
            <w:shd w:val="clear" w:color="auto" w:fill="D9D9D9"/>
            <w:noWrap/>
            <w:vAlign w:val="center"/>
          </w:tcPr>
          <w:p w:rsidR="00ED2B37" w:rsidRDefault="004632C5">
            <w:pPr>
              <w:jc w:val="right"/>
              <w:cnfStyle w:val="000000100000" w:firstRow="0" w:lastRow="0" w:firstColumn="0" w:lastColumn="0" w:oddVBand="0" w:evenVBand="0" w:oddHBand="1" w:evenHBand="0" w:firstRowFirstColumn="0" w:firstRowLastColumn="0" w:lastRowFirstColumn="0" w:lastRowLastColumn="0"/>
            </w:pPr>
            <w:r>
              <w:t>$5,602</w:t>
            </w:r>
          </w:p>
        </w:tc>
      </w:tr>
      <w:tr w:rsidR="004161F2" w:rsidTr="004161F2">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227" w:type="pct"/>
            <w:tcBorders>
              <w:top w:val="nil"/>
              <w:bottom w:val="nil"/>
              <w:right w:val="nil"/>
            </w:tcBorders>
            <w:shd w:val="clear" w:color="auto" w:fill="auto"/>
            <w:noWrap/>
            <w:vAlign w:val="center"/>
          </w:tcPr>
          <w:p w:rsidR="00ED2B37" w:rsidRDefault="004632C5">
            <w:pPr>
              <w:spacing w:before="40" w:after="40" w:line="240" w:lineRule="auto"/>
              <w:rPr>
                <w:rFonts w:eastAsia="MS Mincho" w:cs="Times New Roman"/>
                <w:szCs w:val="22"/>
                <w:lang w:val="en-US"/>
              </w:rPr>
            </w:pPr>
            <w:r>
              <w:rPr>
                <w:rFonts w:eastAsia="MS Mincho" w:cs="Times New Roman"/>
                <w:b w:val="0"/>
                <w:bCs w:val="0"/>
                <w:szCs w:val="22"/>
                <w:lang w:val="en-US"/>
              </w:rPr>
              <w:t>Property and Equipment Services</w:t>
            </w:r>
          </w:p>
        </w:tc>
        <w:tc>
          <w:tcPr>
            <w:tcW w:w="1773" w:type="pct"/>
            <w:tcBorders>
              <w:top w:val="nil"/>
              <w:left w:val="nil"/>
              <w:bottom w:val="nil"/>
            </w:tcBorders>
            <w:shd w:val="clear" w:color="auto" w:fill="auto"/>
            <w:noWrap/>
          </w:tcPr>
          <w:p w:rsidR="00ED2B37" w:rsidRDefault="004632C5">
            <w:pPr>
              <w:jc w:val="right"/>
              <w:cnfStyle w:val="000000000000" w:firstRow="0" w:lastRow="0" w:firstColumn="0" w:lastColumn="0" w:oddVBand="0" w:evenVBand="0" w:oddHBand="0" w:evenHBand="0" w:firstRowFirstColumn="0" w:firstRowLastColumn="0" w:lastRowFirstColumn="0" w:lastRowLastColumn="0"/>
            </w:pPr>
            <w:r>
              <w:t>$98,237</w:t>
            </w:r>
          </w:p>
        </w:tc>
      </w:tr>
      <w:tr w:rsidR="004161F2" w:rsidTr="004161F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7" w:type="pct"/>
            <w:tcBorders>
              <w:top w:val="nil"/>
              <w:bottom w:val="nil"/>
              <w:right w:val="single" w:sz="4" w:space="0" w:color="FFFFFF"/>
            </w:tcBorders>
            <w:shd w:val="clear" w:color="auto" w:fill="DBD9D6"/>
            <w:noWrap/>
            <w:vAlign w:val="center"/>
          </w:tcPr>
          <w:p w:rsidR="00ED2B37" w:rsidRDefault="004632C5">
            <w:pPr>
              <w:spacing w:before="40" w:after="40" w:line="240" w:lineRule="auto"/>
              <w:rPr>
                <w:rFonts w:eastAsia="MS Mincho" w:cs="Times New Roman"/>
                <w:szCs w:val="22"/>
                <w:lang w:val="en-US"/>
              </w:rPr>
            </w:pPr>
            <w:r>
              <w:rPr>
                <w:rFonts w:eastAsia="MS Mincho" w:cs="Times New Roman"/>
                <w:b w:val="0"/>
                <w:bCs w:val="0"/>
                <w:szCs w:val="22"/>
                <w:lang w:val="en-US"/>
              </w:rPr>
              <w:t xml:space="preserve">Salaries &amp; Allowances </w:t>
            </w:r>
            <w:r>
              <w:rPr>
                <w:rFonts w:eastAsia="MS Mincho" w:cs="Times New Roman"/>
                <w:b w:val="0"/>
                <w:bCs w:val="0"/>
                <w:szCs w:val="22"/>
                <w:vertAlign w:val="superscript"/>
                <w:lang w:val="en-US"/>
              </w:rPr>
              <w:t>4</w:t>
            </w:r>
          </w:p>
        </w:tc>
        <w:tc>
          <w:tcPr>
            <w:tcW w:w="1773" w:type="pct"/>
            <w:tcBorders>
              <w:top w:val="nil"/>
              <w:left w:val="single" w:sz="4" w:space="0" w:color="FFFFFF"/>
              <w:bottom w:val="nil"/>
            </w:tcBorders>
            <w:shd w:val="clear" w:color="auto" w:fill="DBD9D6"/>
            <w:noWrap/>
          </w:tcPr>
          <w:p w:rsidR="00ED2B37" w:rsidRDefault="004632C5">
            <w:pPr>
              <w:jc w:val="right"/>
              <w:cnfStyle w:val="000000100000" w:firstRow="0" w:lastRow="0" w:firstColumn="0" w:lastColumn="0" w:oddVBand="0" w:evenVBand="0" w:oddHBand="1" w:evenHBand="0" w:firstRowFirstColumn="0" w:firstRowLastColumn="0" w:lastRowFirstColumn="0" w:lastRowLastColumn="0"/>
            </w:pPr>
            <w:r>
              <w:t>$114,016</w:t>
            </w:r>
          </w:p>
        </w:tc>
      </w:tr>
      <w:tr w:rsidR="004161F2" w:rsidTr="004161F2">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227" w:type="pct"/>
            <w:tcBorders>
              <w:top w:val="nil"/>
              <w:bottom w:val="nil"/>
              <w:right w:val="single" w:sz="4" w:space="0" w:color="FFFFFF"/>
            </w:tcBorders>
            <w:shd w:val="clear" w:color="auto" w:fill="auto"/>
            <w:noWrap/>
            <w:vAlign w:val="center"/>
          </w:tcPr>
          <w:p w:rsidR="00ED2B37" w:rsidRDefault="004632C5">
            <w:pPr>
              <w:spacing w:before="40" w:after="40" w:line="240" w:lineRule="auto"/>
              <w:rPr>
                <w:rFonts w:eastAsia="MS Mincho" w:cs="Times New Roman"/>
                <w:szCs w:val="22"/>
                <w:lang w:val="en-US"/>
              </w:rPr>
            </w:pPr>
            <w:r>
              <w:rPr>
                <w:rFonts w:eastAsia="MS Mincho" w:cs="Times New Roman"/>
                <w:b w:val="0"/>
                <w:bCs w:val="0"/>
                <w:szCs w:val="22"/>
                <w:lang w:val="en-US"/>
              </w:rPr>
              <w:t>Trading &amp; Fundraising</w:t>
            </w:r>
          </w:p>
        </w:tc>
        <w:tc>
          <w:tcPr>
            <w:tcW w:w="1773" w:type="pct"/>
            <w:tcBorders>
              <w:top w:val="nil"/>
              <w:left w:val="single" w:sz="4" w:space="0" w:color="FFFFFF"/>
              <w:bottom w:val="nil"/>
            </w:tcBorders>
            <w:shd w:val="clear" w:color="auto" w:fill="auto"/>
            <w:noWrap/>
          </w:tcPr>
          <w:p w:rsidR="00ED2B37" w:rsidRDefault="004632C5">
            <w:pPr>
              <w:jc w:val="right"/>
              <w:cnfStyle w:val="000000000000" w:firstRow="0" w:lastRow="0" w:firstColumn="0" w:lastColumn="0" w:oddVBand="0" w:evenVBand="0" w:oddHBand="0" w:evenHBand="0" w:firstRowFirstColumn="0" w:firstRowLastColumn="0" w:lastRowFirstColumn="0" w:lastRowLastColumn="0"/>
            </w:pPr>
            <w:r>
              <w:t>$24,087</w:t>
            </w:r>
          </w:p>
        </w:tc>
      </w:tr>
      <w:tr w:rsidR="004161F2" w:rsidTr="004161F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7" w:type="pct"/>
            <w:tcBorders>
              <w:top w:val="nil"/>
              <w:bottom w:val="nil"/>
              <w:right w:val="single" w:sz="4" w:space="0" w:color="FFFFFF"/>
            </w:tcBorders>
            <w:shd w:val="clear" w:color="auto" w:fill="DBD9D6"/>
            <w:noWrap/>
            <w:vAlign w:val="center"/>
          </w:tcPr>
          <w:p w:rsidR="00ED2B37" w:rsidRDefault="004632C5">
            <w:pPr>
              <w:spacing w:before="40" w:after="40" w:line="240" w:lineRule="auto"/>
              <w:rPr>
                <w:rFonts w:eastAsia="MS Mincho" w:cs="Times New Roman"/>
                <w:szCs w:val="22"/>
                <w:lang w:val="en-US"/>
              </w:rPr>
            </w:pPr>
            <w:r>
              <w:rPr>
                <w:rFonts w:eastAsia="MS Mincho" w:cs="Times New Roman"/>
                <w:b w:val="0"/>
                <w:bCs w:val="0"/>
                <w:szCs w:val="22"/>
                <w:lang w:val="en-US"/>
              </w:rPr>
              <w:t>Travel &amp; Subsistence</w:t>
            </w:r>
          </w:p>
        </w:tc>
        <w:tc>
          <w:tcPr>
            <w:tcW w:w="1773" w:type="pct"/>
            <w:tcBorders>
              <w:top w:val="nil"/>
              <w:left w:val="single" w:sz="4" w:space="0" w:color="FFFFFF"/>
              <w:bottom w:val="nil"/>
            </w:tcBorders>
            <w:shd w:val="clear" w:color="auto" w:fill="DBD9D6"/>
            <w:noWrap/>
          </w:tcPr>
          <w:p w:rsidR="00ED2B37" w:rsidRDefault="004632C5">
            <w:pPr>
              <w:jc w:val="right"/>
              <w:cnfStyle w:val="000000100000" w:firstRow="0" w:lastRow="0" w:firstColumn="0" w:lastColumn="0" w:oddVBand="0" w:evenVBand="0" w:oddHBand="1" w:evenHBand="0" w:firstRowFirstColumn="0" w:firstRowLastColumn="0" w:lastRowFirstColumn="0" w:lastRowLastColumn="0"/>
            </w:pPr>
            <w:r>
              <w:t>$0</w:t>
            </w:r>
          </w:p>
        </w:tc>
      </w:tr>
      <w:tr w:rsidR="004161F2" w:rsidTr="004161F2">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227" w:type="pct"/>
            <w:tcBorders>
              <w:top w:val="nil"/>
              <w:bottom w:val="single" w:sz="2" w:space="0" w:color="106CB5"/>
              <w:right w:val="nil"/>
            </w:tcBorders>
            <w:shd w:val="clear" w:color="auto" w:fill="auto"/>
            <w:noWrap/>
            <w:vAlign w:val="center"/>
          </w:tcPr>
          <w:p w:rsidR="00ED2B37" w:rsidRDefault="004632C5">
            <w:pPr>
              <w:spacing w:before="40" w:after="40" w:line="240" w:lineRule="auto"/>
              <w:rPr>
                <w:rFonts w:eastAsia="MS Mincho" w:cs="Times New Roman"/>
                <w:szCs w:val="22"/>
                <w:lang w:val="en-US"/>
              </w:rPr>
            </w:pPr>
            <w:r>
              <w:rPr>
                <w:rFonts w:eastAsia="MS Mincho" w:cs="Times New Roman"/>
                <w:b w:val="0"/>
                <w:bCs w:val="0"/>
                <w:szCs w:val="22"/>
                <w:lang w:val="en-US"/>
              </w:rPr>
              <w:t>Utilities</w:t>
            </w:r>
          </w:p>
        </w:tc>
        <w:tc>
          <w:tcPr>
            <w:tcW w:w="1773" w:type="pct"/>
            <w:tcBorders>
              <w:top w:val="nil"/>
              <w:left w:val="nil"/>
              <w:bottom w:val="single" w:sz="2" w:space="0" w:color="106CB5"/>
            </w:tcBorders>
            <w:shd w:val="clear" w:color="auto" w:fill="auto"/>
            <w:noWrap/>
          </w:tcPr>
          <w:p w:rsidR="00ED2B37" w:rsidRDefault="004632C5">
            <w:pPr>
              <w:jc w:val="right"/>
              <w:cnfStyle w:val="000000000000" w:firstRow="0" w:lastRow="0" w:firstColumn="0" w:lastColumn="0" w:oddVBand="0" w:evenVBand="0" w:oddHBand="0" w:evenHBand="0" w:firstRowFirstColumn="0" w:firstRowLastColumn="0" w:lastRowFirstColumn="0" w:lastRowLastColumn="0"/>
            </w:pPr>
            <w:r>
              <w:t>$20,545</w:t>
            </w:r>
          </w:p>
        </w:tc>
      </w:tr>
      <w:tr w:rsidR="004161F2" w:rsidTr="004161F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7" w:type="pct"/>
            <w:tcBorders>
              <w:top w:val="single" w:sz="2" w:space="0" w:color="106CB5"/>
              <w:bottom w:val="single" w:sz="2" w:space="0" w:color="106CB5"/>
            </w:tcBorders>
            <w:shd w:val="clear" w:color="auto" w:fill="auto"/>
            <w:noWrap/>
            <w:vAlign w:val="center"/>
          </w:tcPr>
          <w:p w:rsidR="00ED2B37" w:rsidRDefault="004632C5">
            <w:pPr>
              <w:spacing w:after="0" w:line="240" w:lineRule="auto"/>
              <w:rPr>
                <w:rFonts w:eastAsia="MS Mincho" w:cs="Times New Roman"/>
                <w:szCs w:val="22"/>
                <w:lang w:val="en-US"/>
              </w:rPr>
            </w:pPr>
            <w:r>
              <w:rPr>
                <w:rFonts w:eastAsia="MS Mincho" w:cs="Times New Roman"/>
                <w:bCs w:val="0"/>
                <w:szCs w:val="22"/>
                <w:lang w:val="en-US"/>
              </w:rPr>
              <w:t>Total Operating Expenditure</w:t>
            </w:r>
          </w:p>
          <w:p w:rsidR="00ED2B37" w:rsidRDefault="004632C5">
            <w:pPr>
              <w:spacing w:before="40" w:after="40" w:line="240" w:lineRule="auto"/>
              <w:rPr>
                <w:rFonts w:eastAsia="MS Mincho" w:cs="Times New Roman"/>
                <w:szCs w:val="22"/>
                <w:lang w:val="en-US"/>
              </w:rPr>
            </w:pPr>
          </w:p>
        </w:tc>
        <w:tc>
          <w:tcPr>
            <w:tcW w:w="1773" w:type="pct"/>
            <w:tcBorders>
              <w:top w:val="single" w:sz="2" w:space="0" w:color="106CB5"/>
              <w:bottom w:val="single" w:sz="2" w:space="0" w:color="106CB5"/>
            </w:tcBorders>
            <w:shd w:val="clear" w:color="auto" w:fill="auto"/>
            <w:noWrap/>
          </w:tcPr>
          <w:p w:rsidR="00ED2B37" w:rsidRDefault="004632C5">
            <w:pPr>
              <w:jc w:val="right"/>
              <w:cnfStyle w:val="000000100000" w:firstRow="0" w:lastRow="0" w:firstColumn="0" w:lastColumn="0" w:oddVBand="0" w:evenVBand="0" w:oddHBand="1" w:evenHBand="0" w:firstRowFirstColumn="0" w:firstRowLastColumn="0" w:lastRowFirstColumn="0" w:lastRowLastColumn="0"/>
            </w:pPr>
            <w:r>
              <w:t>$1,716,881</w:t>
            </w:r>
          </w:p>
        </w:tc>
      </w:tr>
      <w:tr w:rsidR="004161F2" w:rsidTr="004161F2">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227" w:type="pct"/>
            <w:tcBorders>
              <w:top w:val="single" w:sz="2" w:space="0" w:color="106CB5"/>
              <w:bottom w:val="single" w:sz="2" w:space="0" w:color="106CB5"/>
            </w:tcBorders>
            <w:shd w:val="clear" w:color="auto" w:fill="auto"/>
            <w:noWrap/>
            <w:vAlign w:val="center"/>
          </w:tcPr>
          <w:p w:rsidR="00ED2B37" w:rsidRDefault="004632C5">
            <w:pPr>
              <w:spacing w:after="0" w:line="240" w:lineRule="auto"/>
              <w:rPr>
                <w:rFonts w:eastAsia="MS Mincho" w:cs="Times New Roman"/>
                <w:szCs w:val="22"/>
              </w:rPr>
            </w:pPr>
            <w:r>
              <w:rPr>
                <w:rFonts w:eastAsia="MS Mincho" w:cs="Times New Roman"/>
                <w:szCs w:val="22"/>
              </w:rPr>
              <w:t>Net Operating Surplus/-Deficit</w:t>
            </w:r>
          </w:p>
        </w:tc>
        <w:tc>
          <w:tcPr>
            <w:tcW w:w="1773" w:type="pct"/>
            <w:tcBorders>
              <w:top w:val="single" w:sz="2" w:space="0" w:color="106CB5"/>
              <w:bottom w:val="single" w:sz="2" w:space="0" w:color="106CB5"/>
            </w:tcBorders>
            <w:shd w:val="clear" w:color="auto" w:fill="auto"/>
            <w:noWrap/>
          </w:tcPr>
          <w:p w:rsidR="00ED2B37" w:rsidRDefault="004632C5">
            <w:pPr>
              <w:jc w:val="right"/>
              <w:cnfStyle w:val="000000000000" w:firstRow="0" w:lastRow="0" w:firstColumn="0" w:lastColumn="0" w:oddVBand="0" w:evenVBand="0" w:oddHBand="0" w:evenHBand="0" w:firstRowFirstColumn="0" w:firstRowLastColumn="0" w:lastRowFirstColumn="0" w:lastRowLastColumn="0"/>
            </w:pPr>
            <w:r>
              <w:t>$80,500</w:t>
            </w:r>
          </w:p>
        </w:tc>
      </w:tr>
      <w:tr w:rsidR="004161F2" w:rsidTr="004161F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7" w:type="pct"/>
            <w:tcBorders>
              <w:top w:val="single" w:sz="2" w:space="0" w:color="106CB5"/>
              <w:bottom w:val="single" w:sz="2" w:space="0" w:color="106CB5"/>
            </w:tcBorders>
            <w:shd w:val="clear" w:color="auto" w:fill="auto"/>
            <w:noWrap/>
            <w:vAlign w:val="center"/>
          </w:tcPr>
          <w:p w:rsidR="00ED2B37" w:rsidRDefault="004632C5">
            <w:pPr>
              <w:spacing w:after="0" w:line="240" w:lineRule="auto"/>
              <w:rPr>
                <w:rFonts w:eastAsia="MS Mincho" w:cs="Times New Roman"/>
                <w:szCs w:val="22"/>
              </w:rPr>
            </w:pPr>
            <w:r>
              <w:rPr>
                <w:rFonts w:eastAsia="MS Mincho" w:cs="Times New Roman"/>
                <w:szCs w:val="22"/>
              </w:rPr>
              <w:t>Asset Acquisitions</w:t>
            </w:r>
          </w:p>
        </w:tc>
        <w:tc>
          <w:tcPr>
            <w:tcW w:w="1773" w:type="pct"/>
            <w:tcBorders>
              <w:top w:val="single" w:sz="2" w:space="0" w:color="106CB5"/>
              <w:bottom w:val="single" w:sz="2" w:space="0" w:color="106CB5"/>
            </w:tcBorders>
            <w:shd w:val="clear" w:color="auto" w:fill="auto"/>
            <w:noWrap/>
          </w:tcPr>
          <w:p w:rsidR="00ED2B37" w:rsidRDefault="004632C5">
            <w:pPr>
              <w:jc w:val="right"/>
              <w:cnfStyle w:val="000000100000" w:firstRow="0" w:lastRow="0" w:firstColumn="0" w:lastColumn="0" w:oddVBand="0" w:evenVBand="0" w:oddHBand="1" w:evenHBand="0" w:firstRowFirstColumn="0" w:firstRowLastColumn="0" w:lastRowFirstColumn="0" w:lastRowLastColumn="0"/>
            </w:pPr>
            <w:r>
              <w:t>$0</w:t>
            </w:r>
          </w:p>
        </w:tc>
      </w:tr>
    </w:tbl>
    <w:p w:rsidR="00ED2B37" w:rsidRDefault="004632C5">
      <w:pPr>
        <w:spacing w:after="0" w:line="240" w:lineRule="auto"/>
        <w:rPr>
          <w:rFonts w:eastAsia="MS Mincho"/>
        </w:rPr>
      </w:pPr>
    </w:p>
    <w:p w:rsidR="00ED2B37" w:rsidRDefault="004632C5">
      <w:pPr>
        <w:keepNext/>
        <w:keepLines/>
        <w:spacing w:before="240"/>
        <w:outlineLvl w:val="0"/>
        <w:rPr>
          <w:rFonts w:eastAsia="MS Gothic" w:cs="Times New Roman"/>
          <w:b/>
          <w:bCs/>
          <w:caps/>
          <w:color w:val="00008B"/>
          <w:sz w:val="20"/>
          <w:szCs w:val="20"/>
          <w:u w:val="single"/>
        </w:rPr>
      </w:pPr>
      <w:r>
        <w:rPr>
          <w:rFonts w:eastAsia="MS Gothic" w:cs="Times New Roman"/>
          <w:b/>
          <w:bCs/>
          <w:caps/>
          <w:color w:val="00008B"/>
          <w:sz w:val="20"/>
          <w:szCs w:val="20"/>
          <w:u w:val="single"/>
        </w:rPr>
        <w:t>Financial Position as at 31 December, 2019</w:t>
      </w:r>
    </w:p>
    <w:tbl>
      <w:tblPr>
        <w:tblStyle w:val="GridTable2-Accent612"/>
        <w:tblW w:w="2876" w:type="pct"/>
        <w:jc w:val="center"/>
        <w:tblLook w:val="04A0" w:firstRow="1" w:lastRow="0" w:firstColumn="1" w:lastColumn="0" w:noHBand="0" w:noVBand="1"/>
        <w:tblCaption w:val="Fund available"/>
      </w:tblPr>
      <w:tblGrid>
        <w:gridCol w:w="3998"/>
        <w:gridCol w:w="2195"/>
      </w:tblGrid>
      <w:tr w:rsidR="004161F2" w:rsidTr="004161F2">
        <w:trPr>
          <w:cnfStyle w:val="100000000000" w:firstRow="1" w:lastRow="0" w:firstColumn="0" w:lastColumn="0" w:oddVBand="0" w:evenVBand="0" w:oddHBand="0" w:evenHBand="0" w:firstRowFirstColumn="0" w:firstRowLastColumn="0" w:lastRowFirstColumn="0" w:lastRowLastColumn="0"/>
          <w:trHeight w:hRule="exact" w:val="454"/>
          <w:tblHeader/>
          <w:jc w:val="center"/>
        </w:trPr>
        <w:tc>
          <w:tcPr>
            <w:cnfStyle w:val="001000000000" w:firstRow="0" w:lastRow="0" w:firstColumn="1" w:lastColumn="0" w:oddVBand="0" w:evenVBand="0" w:oddHBand="0" w:evenHBand="0" w:firstRowFirstColumn="0" w:firstRowLastColumn="0" w:lastRowFirstColumn="0" w:lastRowLastColumn="0"/>
            <w:tcW w:w="3228" w:type="pct"/>
            <w:shd w:val="clear" w:color="auto" w:fill="106CB5"/>
            <w:vAlign w:val="center"/>
            <w:hideMark/>
          </w:tcPr>
          <w:p w:rsidR="00ED2B37" w:rsidRDefault="004632C5">
            <w:pPr>
              <w:spacing w:before="40" w:after="40" w:line="240" w:lineRule="auto"/>
              <w:rPr>
                <w:rFonts w:eastAsia="MS Mincho" w:cs="Times New Roman"/>
                <w:color w:val="FFFFFF"/>
                <w:szCs w:val="22"/>
                <w:lang w:val="en-US"/>
              </w:rPr>
            </w:pPr>
            <w:r>
              <w:rPr>
                <w:rFonts w:eastAsia="MS Mincho" w:cs="Times New Roman"/>
                <w:b w:val="0"/>
                <w:bCs w:val="0"/>
                <w:color w:val="FFFFFF"/>
                <w:szCs w:val="22"/>
                <w:lang w:val="en-US"/>
              </w:rPr>
              <w:t>Funds available</w:t>
            </w:r>
          </w:p>
        </w:tc>
        <w:tc>
          <w:tcPr>
            <w:tcW w:w="1772" w:type="pct"/>
            <w:shd w:val="clear" w:color="auto" w:fill="106CB5"/>
            <w:vAlign w:val="center"/>
            <w:hideMark/>
          </w:tcPr>
          <w:p w:rsidR="00ED2B37" w:rsidRDefault="004632C5">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eastAsia="MS Mincho" w:cs="Times New Roman"/>
                <w:color w:val="FFFFFF"/>
                <w:szCs w:val="22"/>
                <w:lang w:val="en-US"/>
              </w:rPr>
            </w:pPr>
            <w:r>
              <w:rPr>
                <w:rFonts w:eastAsia="MS Mincho" w:cs="Times New Roman"/>
                <w:b w:val="0"/>
                <w:bCs w:val="0"/>
                <w:color w:val="FFFFFF"/>
                <w:szCs w:val="22"/>
                <w:lang w:val="en-US"/>
              </w:rPr>
              <w:t>Actual</w:t>
            </w:r>
          </w:p>
        </w:tc>
      </w:tr>
      <w:tr w:rsidR="004161F2" w:rsidTr="004161F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single" w:sz="12" w:space="0" w:color="FFFFFF"/>
              <w:bottom w:val="nil"/>
              <w:right w:val="single" w:sz="4" w:space="0" w:color="FFFFFF"/>
            </w:tcBorders>
            <w:shd w:val="clear" w:color="auto" w:fill="D9D9D9"/>
            <w:noWrap/>
            <w:vAlign w:val="center"/>
          </w:tcPr>
          <w:p w:rsidR="00ED2B37" w:rsidRDefault="004632C5">
            <w:pPr>
              <w:spacing w:before="40" w:after="40" w:line="240" w:lineRule="auto"/>
              <w:rPr>
                <w:rFonts w:eastAsia="MS Mincho" w:cs="Times New Roman"/>
                <w:szCs w:val="22"/>
                <w:lang w:val="en-US"/>
              </w:rPr>
            </w:pPr>
            <w:r>
              <w:rPr>
                <w:rFonts w:eastAsia="MS Mincho" w:cs="Times New Roman"/>
                <w:b w:val="0"/>
                <w:bCs w:val="0"/>
                <w:szCs w:val="22"/>
                <w:lang w:val="en-US"/>
              </w:rPr>
              <w:t>High Yield Investment Account</w:t>
            </w:r>
          </w:p>
        </w:tc>
        <w:tc>
          <w:tcPr>
            <w:tcW w:w="1772" w:type="pct"/>
            <w:tcBorders>
              <w:top w:val="single" w:sz="12" w:space="0" w:color="FFFFFF"/>
              <w:left w:val="single" w:sz="4" w:space="0" w:color="FFFFFF"/>
              <w:bottom w:val="nil"/>
            </w:tcBorders>
            <w:shd w:val="clear" w:color="auto" w:fill="D9D9D9"/>
            <w:noWrap/>
            <w:vAlign w:val="center"/>
          </w:tcPr>
          <w:p w:rsidR="00ED2B37" w:rsidRDefault="004632C5">
            <w:pPr>
              <w:jc w:val="right"/>
              <w:cnfStyle w:val="000000100000" w:firstRow="0" w:lastRow="0" w:firstColumn="0" w:lastColumn="0" w:oddVBand="0" w:evenVBand="0" w:oddHBand="1" w:evenHBand="0" w:firstRowFirstColumn="0" w:firstRowLastColumn="0" w:lastRowFirstColumn="0" w:lastRowLastColumn="0"/>
            </w:pPr>
            <w:r>
              <w:t>$117,007</w:t>
            </w:r>
          </w:p>
        </w:tc>
      </w:tr>
      <w:tr w:rsidR="004161F2" w:rsidTr="004161F2">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nil"/>
              <w:bottom w:val="nil"/>
              <w:right w:val="single" w:sz="4" w:space="0" w:color="FFFFFF"/>
            </w:tcBorders>
            <w:noWrap/>
            <w:vAlign w:val="center"/>
          </w:tcPr>
          <w:p w:rsidR="00ED2B37" w:rsidRDefault="004632C5">
            <w:pPr>
              <w:spacing w:before="40" w:after="40" w:line="240" w:lineRule="auto"/>
              <w:rPr>
                <w:rFonts w:eastAsia="MS Mincho" w:cs="Times New Roman"/>
                <w:szCs w:val="22"/>
                <w:lang w:val="en-US"/>
              </w:rPr>
            </w:pPr>
            <w:r>
              <w:rPr>
                <w:rFonts w:eastAsia="MS Mincho" w:cs="Times New Roman"/>
                <w:b w:val="0"/>
                <w:bCs w:val="0"/>
                <w:szCs w:val="22"/>
                <w:lang w:val="en-US"/>
              </w:rPr>
              <w:t>Official Account</w:t>
            </w:r>
          </w:p>
        </w:tc>
        <w:tc>
          <w:tcPr>
            <w:tcW w:w="1772" w:type="pct"/>
            <w:tcBorders>
              <w:top w:val="nil"/>
              <w:left w:val="single" w:sz="4" w:space="0" w:color="FFFFFF"/>
              <w:bottom w:val="nil"/>
            </w:tcBorders>
            <w:noWrap/>
            <w:vAlign w:val="center"/>
          </w:tcPr>
          <w:p w:rsidR="00ED2B37" w:rsidRDefault="004632C5">
            <w:pPr>
              <w:jc w:val="right"/>
              <w:cnfStyle w:val="000000000000" w:firstRow="0" w:lastRow="0" w:firstColumn="0" w:lastColumn="0" w:oddVBand="0" w:evenVBand="0" w:oddHBand="0" w:evenHBand="0" w:firstRowFirstColumn="0" w:firstRowLastColumn="0" w:lastRowFirstColumn="0" w:lastRowLastColumn="0"/>
            </w:pPr>
            <w:r>
              <w:t>$5,456</w:t>
            </w:r>
          </w:p>
        </w:tc>
      </w:tr>
      <w:tr w:rsidR="004161F2" w:rsidTr="004161F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nil"/>
              <w:bottom w:val="single" w:sz="2" w:space="0" w:color="106CB5"/>
              <w:right w:val="single" w:sz="4" w:space="0" w:color="FFFFFF"/>
            </w:tcBorders>
            <w:shd w:val="clear" w:color="auto" w:fill="D9D9D9"/>
            <w:noWrap/>
            <w:vAlign w:val="center"/>
          </w:tcPr>
          <w:p w:rsidR="00ED2B37" w:rsidRDefault="004632C5">
            <w:pPr>
              <w:spacing w:before="40" w:after="40" w:line="240" w:lineRule="auto"/>
              <w:rPr>
                <w:rFonts w:eastAsia="MS Mincho" w:cs="Times New Roman"/>
                <w:szCs w:val="22"/>
                <w:lang w:val="en-US"/>
              </w:rPr>
            </w:pPr>
            <w:r>
              <w:rPr>
                <w:rFonts w:eastAsia="MS Mincho" w:cs="Times New Roman"/>
                <w:b w:val="0"/>
                <w:bCs w:val="0"/>
                <w:szCs w:val="22"/>
                <w:lang w:val="en-US"/>
              </w:rPr>
              <w:t>Other Accounts</w:t>
            </w:r>
          </w:p>
        </w:tc>
        <w:tc>
          <w:tcPr>
            <w:tcW w:w="1772" w:type="pct"/>
            <w:tcBorders>
              <w:top w:val="nil"/>
              <w:left w:val="single" w:sz="4" w:space="0" w:color="FFFFFF"/>
              <w:bottom w:val="single" w:sz="2" w:space="0" w:color="106CB5"/>
            </w:tcBorders>
            <w:shd w:val="clear" w:color="auto" w:fill="D9D9D9"/>
            <w:noWrap/>
            <w:vAlign w:val="center"/>
          </w:tcPr>
          <w:p w:rsidR="00ED2B37" w:rsidRDefault="004632C5">
            <w:pPr>
              <w:jc w:val="right"/>
              <w:cnfStyle w:val="000000100000" w:firstRow="0" w:lastRow="0" w:firstColumn="0" w:lastColumn="0" w:oddVBand="0" w:evenVBand="0" w:oddHBand="1" w:evenHBand="0" w:firstRowFirstColumn="0" w:firstRowLastColumn="0" w:lastRowFirstColumn="0" w:lastRowLastColumn="0"/>
            </w:pPr>
            <w:r>
              <w:t>$0</w:t>
            </w:r>
          </w:p>
        </w:tc>
      </w:tr>
      <w:tr w:rsidR="004161F2" w:rsidTr="004161F2">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single" w:sz="2" w:space="0" w:color="106CB5"/>
              <w:bottom w:val="single" w:sz="2" w:space="0" w:color="106CB5"/>
            </w:tcBorders>
            <w:noWrap/>
            <w:vAlign w:val="center"/>
            <w:hideMark/>
          </w:tcPr>
          <w:p w:rsidR="00ED2B37" w:rsidRDefault="004632C5">
            <w:pPr>
              <w:spacing w:before="40" w:after="40" w:line="240" w:lineRule="auto"/>
              <w:rPr>
                <w:rFonts w:eastAsia="MS Mincho" w:cs="Times New Roman"/>
                <w:szCs w:val="22"/>
                <w:lang w:val="en-US"/>
              </w:rPr>
            </w:pPr>
            <w:r>
              <w:rPr>
                <w:rFonts w:eastAsia="MS Mincho" w:cs="Times New Roman"/>
                <w:bCs w:val="0"/>
                <w:szCs w:val="22"/>
                <w:lang w:val="en-US"/>
              </w:rPr>
              <w:t>Total Funds Available</w:t>
            </w:r>
          </w:p>
        </w:tc>
        <w:tc>
          <w:tcPr>
            <w:tcW w:w="1772" w:type="pct"/>
            <w:tcBorders>
              <w:top w:val="single" w:sz="2" w:space="0" w:color="106CB5"/>
              <w:bottom w:val="single" w:sz="2" w:space="0" w:color="106CB5"/>
            </w:tcBorders>
            <w:noWrap/>
            <w:vAlign w:val="center"/>
          </w:tcPr>
          <w:p w:rsidR="00ED2B37" w:rsidRDefault="004632C5">
            <w:pPr>
              <w:jc w:val="right"/>
              <w:cnfStyle w:val="000000000000" w:firstRow="0" w:lastRow="0" w:firstColumn="0" w:lastColumn="0" w:oddVBand="0" w:evenVBand="0" w:oddHBand="0" w:evenHBand="0" w:firstRowFirstColumn="0" w:firstRowLastColumn="0" w:lastRowFirstColumn="0" w:lastRowLastColumn="0"/>
            </w:pPr>
            <w:r>
              <w:t>$122,463</w:t>
            </w:r>
          </w:p>
        </w:tc>
      </w:tr>
    </w:tbl>
    <w:p w:rsidR="00ED2B37" w:rsidRDefault="004632C5">
      <w:pPr>
        <w:spacing w:after="0" w:line="240" w:lineRule="auto"/>
        <w:rPr>
          <w:rFonts w:eastAsia="MS Mincho"/>
        </w:rPr>
      </w:pPr>
      <w:r>
        <w:rPr>
          <w:rFonts w:eastAsia="MS Mincho"/>
        </w:rPr>
        <w:br w:type="page"/>
      </w:r>
    </w:p>
    <w:p w:rsidR="00ED2B37" w:rsidRDefault="004632C5">
      <w:pPr>
        <w:spacing w:after="0" w:line="240" w:lineRule="auto"/>
        <w:rPr>
          <w:rFonts w:eastAsia="MS Mincho"/>
        </w:rPr>
      </w:pPr>
    </w:p>
    <w:p w:rsidR="00ED2B37" w:rsidRDefault="004632C5">
      <w:pPr>
        <w:spacing w:after="0" w:line="240" w:lineRule="auto"/>
        <w:rPr>
          <w:rFonts w:eastAsia="MS Mincho"/>
        </w:rPr>
      </w:pPr>
    </w:p>
    <w:tbl>
      <w:tblPr>
        <w:tblStyle w:val="GridTable2-Accent612"/>
        <w:tblW w:w="2876" w:type="pct"/>
        <w:jc w:val="center"/>
        <w:tblLook w:val="04A0" w:firstRow="1" w:lastRow="0" w:firstColumn="1" w:lastColumn="0" w:noHBand="0" w:noVBand="1"/>
        <w:tblCaption w:val="Financial Commitments"/>
      </w:tblPr>
      <w:tblGrid>
        <w:gridCol w:w="4584"/>
        <w:gridCol w:w="1609"/>
      </w:tblGrid>
      <w:tr w:rsidR="004161F2" w:rsidTr="004161F2">
        <w:trPr>
          <w:cnfStyle w:val="100000000000" w:firstRow="1" w:lastRow="0" w:firstColumn="0" w:lastColumn="0" w:oddVBand="0" w:evenVBand="0" w:oddHBand="0" w:evenHBand="0" w:firstRowFirstColumn="0" w:firstRowLastColumn="0" w:lastRowFirstColumn="0" w:lastRowLastColumn="0"/>
          <w:trHeight w:hRule="exact" w:val="454"/>
          <w:tblHeader/>
          <w:jc w:val="center"/>
        </w:trPr>
        <w:tc>
          <w:tcPr>
            <w:cnfStyle w:val="001000000000" w:firstRow="0" w:lastRow="0" w:firstColumn="1" w:lastColumn="0" w:oddVBand="0" w:evenVBand="0" w:oddHBand="0" w:evenHBand="0" w:firstRowFirstColumn="0" w:firstRowLastColumn="0" w:lastRowFirstColumn="0" w:lastRowLastColumn="0"/>
            <w:tcW w:w="3701" w:type="pct"/>
            <w:shd w:val="clear" w:color="auto" w:fill="106CB5"/>
            <w:vAlign w:val="center"/>
            <w:hideMark/>
          </w:tcPr>
          <w:p w:rsidR="00ED2B37" w:rsidRDefault="004632C5">
            <w:pPr>
              <w:spacing w:before="40" w:after="40" w:line="240" w:lineRule="auto"/>
              <w:rPr>
                <w:rFonts w:eastAsia="MS Mincho" w:cs="Times New Roman"/>
                <w:color w:val="FFFFFF"/>
                <w:szCs w:val="22"/>
                <w:lang w:val="en-US"/>
              </w:rPr>
            </w:pPr>
            <w:r>
              <w:rPr>
                <w:rFonts w:eastAsia="MS Mincho" w:cs="Times New Roman"/>
                <w:b w:val="0"/>
                <w:bCs w:val="0"/>
                <w:color w:val="FFFFFF"/>
                <w:szCs w:val="22"/>
                <w:lang w:val="en-US"/>
              </w:rPr>
              <w:t>Financial Commitments</w:t>
            </w:r>
          </w:p>
        </w:tc>
        <w:tc>
          <w:tcPr>
            <w:tcW w:w="1299" w:type="pct"/>
            <w:shd w:val="clear" w:color="auto" w:fill="106CB5"/>
            <w:vAlign w:val="center"/>
            <w:hideMark/>
          </w:tcPr>
          <w:p w:rsidR="00ED2B37" w:rsidRDefault="004632C5">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eastAsia="MS Mincho" w:cs="Times New Roman"/>
                <w:color w:val="FFFFFF"/>
                <w:szCs w:val="22"/>
                <w:lang w:val="en-US"/>
              </w:rPr>
            </w:pPr>
            <w:r>
              <w:rPr>
                <w:rFonts w:eastAsia="MS Mincho" w:cs="Times New Roman"/>
                <w:b w:val="0"/>
                <w:bCs w:val="0"/>
                <w:color w:val="FFFFFF"/>
                <w:szCs w:val="22"/>
                <w:lang w:val="en-US"/>
              </w:rPr>
              <w:t>Actual</w:t>
            </w:r>
          </w:p>
        </w:tc>
      </w:tr>
      <w:tr w:rsidR="004161F2" w:rsidTr="004161F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701" w:type="pct"/>
            <w:tcBorders>
              <w:top w:val="single" w:sz="12" w:space="0" w:color="FFFFFF"/>
              <w:bottom w:val="nil"/>
              <w:right w:val="single" w:sz="4" w:space="0" w:color="FFFFFF"/>
            </w:tcBorders>
            <w:shd w:val="clear" w:color="auto" w:fill="D9D9D9"/>
            <w:noWrap/>
            <w:vAlign w:val="center"/>
            <w:hideMark/>
          </w:tcPr>
          <w:p w:rsidR="00ED2B37" w:rsidRDefault="004632C5">
            <w:pPr>
              <w:spacing w:before="40" w:after="40" w:line="240" w:lineRule="auto"/>
              <w:rPr>
                <w:rFonts w:eastAsia="MS Mincho" w:cs="Times New Roman"/>
                <w:szCs w:val="22"/>
                <w:lang w:val="en-US"/>
              </w:rPr>
            </w:pPr>
            <w:r>
              <w:rPr>
                <w:rFonts w:eastAsia="MS Mincho" w:cs="Times New Roman"/>
                <w:b w:val="0"/>
                <w:bCs w:val="0"/>
                <w:szCs w:val="22"/>
                <w:lang w:val="en-US"/>
              </w:rPr>
              <w:t>Operating Reserve</w:t>
            </w:r>
          </w:p>
        </w:tc>
        <w:tc>
          <w:tcPr>
            <w:tcW w:w="1299" w:type="pct"/>
            <w:tcBorders>
              <w:top w:val="single" w:sz="12" w:space="0" w:color="FFFFFF"/>
              <w:left w:val="single" w:sz="4" w:space="0" w:color="FFFFFF"/>
              <w:bottom w:val="nil"/>
            </w:tcBorders>
            <w:shd w:val="clear" w:color="auto" w:fill="D9D9D9"/>
            <w:noWrap/>
            <w:vAlign w:val="center"/>
          </w:tcPr>
          <w:p w:rsidR="00ED2B37" w:rsidRDefault="004632C5">
            <w:pPr>
              <w:jc w:val="right"/>
              <w:cnfStyle w:val="000000100000" w:firstRow="0" w:lastRow="0" w:firstColumn="0" w:lastColumn="0" w:oddVBand="0" w:evenVBand="0" w:oddHBand="1" w:evenHBand="0" w:firstRowFirstColumn="0" w:firstRowLastColumn="0" w:lastRowFirstColumn="0" w:lastRowLastColumn="0"/>
            </w:pPr>
            <w:r>
              <w:t>$51,770</w:t>
            </w:r>
          </w:p>
        </w:tc>
      </w:tr>
      <w:tr w:rsidR="004161F2" w:rsidTr="004161F2">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701" w:type="pct"/>
            <w:tcBorders>
              <w:top w:val="nil"/>
              <w:bottom w:val="nil"/>
              <w:right w:val="single" w:sz="4" w:space="0" w:color="FFFFFF"/>
            </w:tcBorders>
            <w:noWrap/>
          </w:tcPr>
          <w:p w:rsidR="00ED2B37" w:rsidRDefault="004632C5">
            <w:pPr>
              <w:spacing w:before="40" w:after="40" w:line="240" w:lineRule="auto"/>
              <w:rPr>
                <w:rFonts w:eastAsia="MS Mincho" w:cs="Times New Roman"/>
                <w:szCs w:val="22"/>
                <w:lang w:val="en-US"/>
              </w:rPr>
            </w:pPr>
            <w:r>
              <w:rPr>
                <w:b w:val="0"/>
                <w:lang w:val="en-US"/>
              </w:rPr>
              <w:t>Other Recurrent Expenditure</w:t>
            </w:r>
          </w:p>
        </w:tc>
        <w:tc>
          <w:tcPr>
            <w:tcW w:w="1299" w:type="pct"/>
            <w:tcBorders>
              <w:top w:val="nil"/>
              <w:left w:val="single" w:sz="4" w:space="0" w:color="FFFFFF"/>
              <w:bottom w:val="nil"/>
            </w:tcBorders>
            <w:noWrap/>
            <w:vAlign w:val="center"/>
          </w:tcPr>
          <w:p w:rsidR="00ED2B37" w:rsidRDefault="004632C5">
            <w:pPr>
              <w:jc w:val="right"/>
              <w:cnfStyle w:val="000000000000" w:firstRow="0" w:lastRow="0" w:firstColumn="0" w:lastColumn="0" w:oddVBand="0" w:evenVBand="0" w:oddHBand="0" w:evenHBand="0" w:firstRowFirstColumn="0" w:firstRowLastColumn="0" w:lastRowFirstColumn="0" w:lastRowLastColumn="0"/>
            </w:pPr>
            <w:r>
              <w:t>$0</w:t>
            </w:r>
          </w:p>
        </w:tc>
      </w:tr>
      <w:tr w:rsidR="004161F2" w:rsidTr="004161F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701" w:type="pct"/>
            <w:tcBorders>
              <w:top w:val="nil"/>
              <w:bottom w:val="nil"/>
              <w:right w:val="single" w:sz="4" w:space="0" w:color="FFFFFF"/>
            </w:tcBorders>
            <w:shd w:val="clear" w:color="auto" w:fill="D9D9D9"/>
            <w:noWrap/>
          </w:tcPr>
          <w:p w:rsidR="00ED2B37" w:rsidRDefault="004632C5">
            <w:pPr>
              <w:spacing w:before="40" w:after="40" w:line="240" w:lineRule="auto"/>
              <w:rPr>
                <w:rFonts w:eastAsia="MS Mincho" w:cs="Times New Roman"/>
                <w:szCs w:val="22"/>
                <w:lang w:val="en-US"/>
              </w:rPr>
            </w:pPr>
            <w:r>
              <w:rPr>
                <w:b w:val="0"/>
                <w:lang w:val="en-US"/>
              </w:rPr>
              <w:t>Provision Accounts</w:t>
            </w:r>
          </w:p>
        </w:tc>
        <w:tc>
          <w:tcPr>
            <w:tcW w:w="1299" w:type="pct"/>
            <w:tcBorders>
              <w:top w:val="nil"/>
              <w:left w:val="single" w:sz="4" w:space="0" w:color="FFFFFF"/>
              <w:bottom w:val="nil"/>
            </w:tcBorders>
            <w:shd w:val="clear" w:color="auto" w:fill="D9D9D9"/>
            <w:noWrap/>
            <w:vAlign w:val="center"/>
          </w:tcPr>
          <w:p w:rsidR="00ED2B37" w:rsidRDefault="004632C5">
            <w:pPr>
              <w:jc w:val="right"/>
              <w:cnfStyle w:val="000000100000" w:firstRow="0" w:lastRow="0" w:firstColumn="0" w:lastColumn="0" w:oddVBand="0" w:evenVBand="0" w:oddHBand="1" w:evenHBand="0" w:firstRowFirstColumn="0" w:firstRowLastColumn="0" w:lastRowFirstColumn="0" w:lastRowLastColumn="0"/>
            </w:pPr>
            <w:r>
              <w:t>$0</w:t>
            </w:r>
          </w:p>
        </w:tc>
      </w:tr>
      <w:tr w:rsidR="004161F2" w:rsidTr="004161F2">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701" w:type="pct"/>
            <w:tcBorders>
              <w:top w:val="nil"/>
              <w:bottom w:val="nil"/>
              <w:right w:val="single" w:sz="4" w:space="0" w:color="FFFFFF"/>
            </w:tcBorders>
            <w:shd w:val="clear" w:color="auto" w:fill="auto"/>
            <w:noWrap/>
          </w:tcPr>
          <w:p w:rsidR="00ED2B37" w:rsidRDefault="004632C5">
            <w:pPr>
              <w:spacing w:before="40" w:after="40" w:line="240" w:lineRule="auto"/>
              <w:rPr>
                <w:rFonts w:eastAsia="MS Mincho" w:cs="Times New Roman"/>
                <w:szCs w:val="22"/>
                <w:lang w:val="en-US"/>
              </w:rPr>
            </w:pPr>
            <w:r>
              <w:rPr>
                <w:b w:val="0"/>
                <w:lang w:val="en-US"/>
              </w:rPr>
              <w:t>Funds Received in Advance</w:t>
            </w:r>
          </w:p>
        </w:tc>
        <w:tc>
          <w:tcPr>
            <w:tcW w:w="1299" w:type="pct"/>
            <w:tcBorders>
              <w:top w:val="nil"/>
              <w:left w:val="single" w:sz="4" w:space="0" w:color="FFFFFF"/>
              <w:bottom w:val="nil"/>
            </w:tcBorders>
            <w:shd w:val="clear" w:color="auto" w:fill="auto"/>
            <w:noWrap/>
            <w:vAlign w:val="center"/>
          </w:tcPr>
          <w:p w:rsidR="00ED2B37" w:rsidRDefault="004632C5">
            <w:pPr>
              <w:jc w:val="right"/>
              <w:cnfStyle w:val="000000000000" w:firstRow="0" w:lastRow="0" w:firstColumn="0" w:lastColumn="0" w:oddVBand="0" w:evenVBand="0" w:oddHBand="0" w:evenHBand="0" w:firstRowFirstColumn="0" w:firstRowLastColumn="0" w:lastRowFirstColumn="0" w:lastRowLastColumn="0"/>
            </w:pPr>
            <w:r>
              <w:t>$21,680</w:t>
            </w:r>
          </w:p>
        </w:tc>
      </w:tr>
      <w:tr w:rsidR="004161F2" w:rsidTr="004161F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701" w:type="pct"/>
            <w:tcBorders>
              <w:top w:val="nil"/>
              <w:bottom w:val="nil"/>
              <w:right w:val="single" w:sz="4" w:space="0" w:color="FFFFFF"/>
            </w:tcBorders>
            <w:shd w:val="clear" w:color="auto" w:fill="DBD9D6"/>
            <w:noWrap/>
          </w:tcPr>
          <w:p w:rsidR="00ED2B37" w:rsidRDefault="004632C5">
            <w:pPr>
              <w:spacing w:before="40" w:after="40" w:line="240" w:lineRule="auto"/>
              <w:rPr>
                <w:rFonts w:eastAsia="MS Mincho" w:cs="Times New Roman"/>
                <w:szCs w:val="22"/>
                <w:lang w:val="en-US"/>
              </w:rPr>
            </w:pPr>
            <w:r>
              <w:rPr>
                <w:b w:val="0"/>
                <w:lang w:val="en-US"/>
              </w:rPr>
              <w:t>School Based Programs</w:t>
            </w:r>
          </w:p>
        </w:tc>
        <w:tc>
          <w:tcPr>
            <w:tcW w:w="1299" w:type="pct"/>
            <w:tcBorders>
              <w:top w:val="nil"/>
              <w:left w:val="single" w:sz="4" w:space="0" w:color="FFFFFF"/>
              <w:bottom w:val="nil"/>
            </w:tcBorders>
            <w:shd w:val="clear" w:color="auto" w:fill="DBD9D6"/>
            <w:noWrap/>
            <w:vAlign w:val="center"/>
          </w:tcPr>
          <w:p w:rsidR="00ED2B37" w:rsidRDefault="004632C5">
            <w:pPr>
              <w:jc w:val="right"/>
              <w:cnfStyle w:val="000000100000" w:firstRow="0" w:lastRow="0" w:firstColumn="0" w:lastColumn="0" w:oddVBand="0" w:evenVBand="0" w:oddHBand="1" w:evenHBand="0" w:firstRowFirstColumn="0" w:firstRowLastColumn="0" w:lastRowFirstColumn="0" w:lastRowLastColumn="0"/>
            </w:pPr>
            <w:r>
              <w:t>$20,812</w:t>
            </w:r>
          </w:p>
        </w:tc>
      </w:tr>
      <w:tr w:rsidR="004161F2" w:rsidTr="004161F2">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701" w:type="pct"/>
            <w:tcBorders>
              <w:top w:val="nil"/>
              <w:bottom w:val="nil"/>
              <w:right w:val="single" w:sz="4" w:space="0" w:color="FFFFFF"/>
            </w:tcBorders>
            <w:noWrap/>
          </w:tcPr>
          <w:p w:rsidR="00ED2B37" w:rsidRDefault="004632C5">
            <w:pPr>
              <w:spacing w:before="40" w:after="40" w:line="240" w:lineRule="auto"/>
              <w:rPr>
                <w:rFonts w:eastAsia="MS Mincho" w:cs="Times New Roman"/>
                <w:szCs w:val="22"/>
                <w:lang w:val="en-US"/>
              </w:rPr>
            </w:pPr>
            <w:r>
              <w:rPr>
                <w:b w:val="0"/>
                <w:lang w:val="en-US"/>
              </w:rPr>
              <w:t>Beneficiary/Memorial Accounts</w:t>
            </w:r>
          </w:p>
        </w:tc>
        <w:tc>
          <w:tcPr>
            <w:tcW w:w="1299" w:type="pct"/>
            <w:tcBorders>
              <w:top w:val="nil"/>
              <w:left w:val="single" w:sz="4" w:space="0" w:color="FFFFFF"/>
              <w:bottom w:val="nil"/>
            </w:tcBorders>
            <w:noWrap/>
            <w:vAlign w:val="center"/>
          </w:tcPr>
          <w:p w:rsidR="00ED2B37" w:rsidRDefault="004632C5">
            <w:pPr>
              <w:jc w:val="right"/>
              <w:cnfStyle w:val="000000000000" w:firstRow="0" w:lastRow="0" w:firstColumn="0" w:lastColumn="0" w:oddVBand="0" w:evenVBand="0" w:oddHBand="0" w:evenHBand="0" w:firstRowFirstColumn="0" w:firstRowLastColumn="0" w:lastRowFirstColumn="0" w:lastRowLastColumn="0"/>
            </w:pPr>
            <w:r>
              <w:t>$0</w:t>
            </w:r>
          </w:p>
        </w:tc>
      </w:tr>
      <w:tr w:rsidR="004161F2" w:rsidTr="004161F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701" w:type="pct"/>
            <w:tcBorders>
              <w:top w:val="nil"/>
              <w:bottom w:val="nil"/>
              <w:right w:val="single" w:sz="4" w:space="0" w:color="FFFFFF"/>
            </w:tcBorders>
            <w:shd w:val="clear" w:color="auto" w:fill="D9D9D9"/>
            <w:noWrap/>
          </w:tcPr>
          <w:p w:rsidR="00ED2B37" w:rsidRDefault="004632C5">
            <w:pPr>
              <w:spacing w:before="40" w:after="40" w:line="240" w:lineRule="auto"/>
              <w:rPr>
                <w:rFonts w:eastAsia="MS Mincho" w:cs="Times New Roman"/>
                <w:szCs w:val="22"/>
                <w:lang w:val="en-US"/>
              </w:rPr>
            </w:pPr>
            <w:r>
              <w:rPr>
                <w:b w:val="0"/>
                <w:lang w:val="en-US"/>
              </w:rPr>
              <w:t>Cooperative Bank Account</w:t>
            </w:r>
          </w:p>
        </w:tc>
        <w:tc>
          <w:tcPr>
            <w:tcW w:w="1299" w:type="pct"/>
            <w:tcBorders>
              <w:top w:val="nil"/>
              <w:left w:val="single" w:sz="4" w:space="0" w:color="FFFFFF"/>
              <w:bottom w:val="nil"/>
            </w:tcBorders>
            <w:shd w:val="clear" w:color="auto" w:fill="D9D9D9"/>
            <w:noWrap/>
            <w:vAlign w:val="center"/>
          </w:tcPr>
          <w:p w:rsidR="00ED2B37" w:rsidRDefault="004632C5">
            <w:pPr>
              <w:jc w:val="right"/>
              <w:cnfStyle w:val="000000100000" w:firstRow="0" w:lastRow="0" w:firstColumn="0" w:lastColumn="0" w:oddVBand="0" w:evenVBand="0" w:oddHBand="1" w:evenHBand="0" w:firstRowFirstColumn="0" w:firstRowLastColumn="0" w:lastRowFirstColumn="0" w:lastRowLastColumn="0"/>
            </w:pPr>
            <w:r>
              <w:t>$0</w:t>
            </w:r>
          </w:p>
        </w:tc>
      </w:tr>
      <w:tr w:rsidR="004161F2" w:rsidTr="004161F2">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701" w:type="pct"/>
            <w:tcBorders>
              <w:top w:val="nil"/>
              <w:bottom w:val="nil"/>
              <w:right w:val="single" w:sz="4" w:space="0" w:color="FFFFFF"/>
            </w:tcBorders>
            <w:noWrap/>
          </w:tcPr>
          <w:p w:rsidR="00ED2B37" w:rsidRDefault="004632C5">
            <w:pPr>
              <w:spacing w:before="40" w:after="40" w:line="240" w:lineRule="auto"/>
              <w:rPr>
                <w:rFonts w:eastAsia="MS Mincho" w:cs="Times New Roman"/>
                <w:szCs w:val="22"/>
                <w:lang w:val="en-US"/>
              </w:rPr>
            </w:pPr>
            <w:r>
              <w:rPr>
                <w:b w:val="0"/>
                <w:lang w:val="en-US"/>
              </w:rPr>
              <w:t xml:space="preserve">Funds for </w:t>
            </w:r>
            <w:r>
              <w:rPr>
                <w:b w:val="0"/>
                <w:lang w:val="en-US"/>
              </w:rPr>
              <w:t>Committees/Shared Arrangements</w:t>
            </w:r>
          </w:p>
        </w:tc>
        <w:tc>
          <w:tcPr>
            <w:tcW w:w="1299" w:type="pct"/>
            <w:tcBorders>
              <w:top w:val="nil"/>
              <w:left w:val="single" w:sz="4" w:space="0" w:color="FFFFFF"/>
              <w:bottom w:val="nil"/>
            </w:tcBorders>
            <w:noWrap/>
            <w:vAlign w:val="center"/>
          </w:tcPr>
          <w:p w:rsidR="00ED2B37" w:rsidRDefault="004632C5">
            <w:pPr>
              <w:jc w:val="right"/>
              <w:cnfStyle w:val="000000000000" w:firstRow="0" w:lastRow="0" w:firstColumn="0" w:lastColumn="0" w:oddVBand="0" w:evenVBand="0" w:oddHBand="0" w:evenHBand="0" w:firstRowFirstColumn="0" w:firstRowLastColumn="0" w:lastRowFirstColumn="0" w:lastRowLastColumn="0"/>
            </w:pPr>
            <w:r>
              <w:t>$24,200</w:t>
            </w:r>
          </w:p>
        </w:tc>
      </w:tr>
      <w:tr w:rsidR="004161F2" w:rsidTr="004161F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701" w:type="pct"/>
            <w:tcBorders>
              <w:top w:val="nil"/>
              <w:bottom w:val="nil"/>
              <w:right w:val="single" w:sz="4" w:space="0" w:color="FFFFFF"/>
            </w:tcBorders>
            <w:shd w:val="clear" w:color="auto" w:fill="D9D9D9"/>
            <w:noWrap/>
          </w:tcPr>
          <w:p w:rsidR="00ED2B37" w:rsidRDefault="004632C5">
            <w:pPr>
              <w:spacing w:before="40" w:after="40" w:line="240" w:lineRule="auto"/>
              <w:rPr>
                <w:rFonts w:eastAsia="MS Mincho" w:cs="Times New Roman"/>
                <w:szCs w:val="22"/>
                <w:lang w:val="en-US"/>
              </w:rPr>
            </w:pPr>
            <w:r>
              <w:rPr>
                <w:b w:val="0"/>
                <w:lang w:val="en-US"/>
              </w:rPr>
              <w:t>Repayable to the Department</w:t>
            </w:r>
          </w:p>
        </w:tc>
        <w:tc>
          <w:tcPr>
            <w:tcW w:w="1299" w:type="pct"/>
            <w:tcBorders>
              <w:top w:val="nil"/>
              <w:left w:val="single" w:sz="4" w:space="0" w:color="FFFFFF"/>
              <w:bottom w:val="nil"/>
            </w:tcBorders>
            <w:shd w:val="clear" w:color="auto" w:fill="D9D9D9"/>
            <w:noWrap/>
            <w:vAlign w:val="center"/>
          </w:tcPr>
          <w:p w:rsidR="00ED2B37" w:rsidRDefault="004632C5">
            <w:pPr>
              <w:jc w:val="right"/>
              <w:cnfStyle w:val="000000100000" w:firstRow="0" w:lastRow="0" w:firstColumn="0" w:lastColumn="0" w:oddVBand="0" w:evenVBand="0" w:oddHBand="1" w:evenHBand="0" w:firstRowFirstColumn="0" w:firstRowLastColumn="0" w:lastRowFirstColumn="0" w:lastRowLastColumn="0"/>
            </w:pPr>
            <w:r>
              <w:t>$0</w:t>
            </w:r>
          </w:p>
        </w:tc>
      </w:tr>
      <w:tr w:rsidR="004161F2" w:rsidTr="004161F2">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701" w:type="pct"/>
            <w:tcBorders>
              <w:top w:val="nil"/>
              <w:bottom w:val="nil"/>
              <w:right w:val="single" w:sz="4" w:space="0" w:color="FFFFFF"/>
            </w:tcBorders>
            <w:noWrap/>
          </w:tcPr>
          <w:p w:rsidR="00ED2B37" w:rsidRDefault="004632C5">
            <w:pPr>
              <w:spacing w:before="40" w:after="40" w:line="240" w:lineRule="auto"/>
              <w:rPr>
                <w:rFonts w:eastAsia="MS Mincho" w:cs="Times New Roman"/>
                <w:szCs w:val="22"/>
                <w:lang w:val="en-US"/>
              </w:rPr>
            </w:pPr>
            <w:r>
              <w:rPr>
                <w:b w:val="0"/>
                <w:lang w:val="en-US"/>
              </w:rPr>
              <w:t>Asset/Equipment Replacement &lt; 12 months</w:t>
            </w:r>
          </w:p>
        </w:tc>
        <w:tc>
          <w:tcPr>
            <w:tcW w:w="1299" w:type="pct"/>
            <w:tcBorders>
              <w:top w:val="nil"/>
              <w:left w:val="single" w:sz="4" w:space="0" w:color="FFFFFF"/>
              <w:bottom w:val="nil"/>
            </w:tcBorders>
            <w:noWrap/>
            <w:vAlign w:val="center"/>
          </w:tcPr>
          <w:p w:rsidR="00ED2B37" w:rsidRDefault="004632C5">
            <w:pPr>
              <w:jc w:val="right"/>
              <w:cnfStyle w:val="000000000000" w:firstRow="0" w:lastRow="0" w:firstColumn="0" w:lastColumn="0" w:oddVBand="0" w:evenVBand="0" w:oddHBand="0" w:evenHBand="0" w:firstRowFirstColumn="0" w:firstRowLastColumn="0" w:lastRowFirstColumn="0" w:lastRowLastColumn="0"/>
            </w:pPr>
            <w:r>
              <w:t>$0</w:t>
            </w:r>
          </w:p>
        </w:tc>
      </w:tr>
      <w:tr w:rsidR="004161F2" w:rsidTr="004161F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701" w:type="pct"/>
            <w:tcBorders>
              <w:top w:val="nil"/>
              <w:bottom w:val="nil"/>
              <w:right w:val="single" w:sz="4" w:space="0" w:color="FFFFFF"/>
            </w:tcBorders>
            <w:shd w:val="clear" w:color="auto" w:fill="D9D9D9"/>
            <w:noWrap/>
          </w:tcPr>
          <w:p w:rsidR="00ED2B37" w:rsidRDefault="004632C5">
            <w:pPr>
              <w:spacing w:before="40" w:after="40" w:line="240" w:lineRule="auto"/>
              <w:rPr>
                <w:rFonts w:eastAsia="MS Mincho" w:cs="Times New Roman"/>
                <w:szCs w:val="22"/>
                <w:lang w:val="en-US"/>
              </w:rPr>
            </w:pPr>
            <w:r>
              <w:rPr>
                <w:b w:val="0"/>
                <w:lang w:val="en-US"/>
              </w:rPr>
              <w:t>Capital - Buildings/Grounds &lt; 12 months</w:t>
            </w:r>
          </w:p>
        </w:tc>
        <w:tc>
          <w:tcPr>
            <w:tcW w:w="1299" w:type="pct"/>
            <w:tcBorders>
              <w:top w:val="nil"/>
              <w:left w:val="single" w:sz="4" w:space="0" w:color="FFFFFF"/>
              <w:bottom w:val="nil"/>
            </w:tcBorders>
            <w:shd w:val="clear" w:color="auto" w:fill="D9D9D9"/>
            <w:noWrap/>
            <w:vAlign w:val="center"/>
          </w:tcPr>
          <w:p w:rsidR="00ED2B37" w:rsidRDefault="004632C5">
            <w:pPr>
              <w:jc w:val="right"/>
              <w:cnfStyle w:val="000000100000" w:firstRow="0" w:lastRow="0" w:firstColumn="0" w:lastColumn="0" w:oddVBand="0" w:evenVBand="0" w:oddHBand="1" w:evenHBand="0" w:firstRowFirstColumn="0" w:firstRowLastColumn="0" w:lastRowFirstColumn="0" w:lastRowLastColumn="0"/>
            </w:pPr>
            <w:r>
              <w:t>$4,000</w:t>
            </w:r>
          </w:p>
        </w:tc>
      </w:tr>
      <w:tr w:rsidR="004161F2" w:rsidTr="004161F2">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701" w:type="pct"/>
            <w:tcBorders>
              <w:top w:val="nil"/>
              <w:bottom w:val="nil"/>
              <w:right w:val="single" w:sz="4" w:space="0" w:color="FFFFFF"/>
            </w:tcBorders>
            <w:noWrap/>
          </w:tcPr>
          <w:p w:rsidR="00ED2B37" w:rsidRDefault="004632C5">
            <w:pPr>
              <w:spacing w:before="40" w:after="40" w:line="240" w:lineRule="auto"/>
              <w:rPr>
                <w:rFonts w:eastAsia="MS Mincho" w:cs="Times New Roman"/>
                <w:szCs w:val="22"/>
                <w:lang w:val="en-US"/>
              </w:rPr>
            </w:pPr>
            <w:r>
              <w:rPr>
                <w:b w:val="0"/>
                <w:lang w:val="en-US"/>
              </w:rPr>
              <w:t>Maintenance - Buildings/Grounds &lt; 12 months</w:t>
            </w:r>
          </w:p>
        </w:tc>
        <w:tc>
          <w:tcPr>
            <w:tcW w:w="1299" w:type="pct"/>
            <w:tcBorders>
              <w:top w:val="nil"/>
              <w:left w:val="single" w:sz="4" w:space="0" w:color="FFFFFF"/>
              <w:bottom w:val="nil"/>
            </w:tcBorders>
            <w:noWrap/>
            <w:vAlign w:val="center"/>
          </w:tcPr>
          <w:p w:rsidR="00ED2B37" w:rsidRDefault="004632C5">
            <w:pPr>
              <w:jc w:val="right"/>
              <w:cnfStyle w:val="000000000000" w:firstRow="0" w:lastRow="0" w:firstColumn="0" w:lastColumn="0" w:oddVBand="0" w:evenVBand="0" w:oddHBand="0" w:evenHBand="0" w:firstRowFirstColumn="0" w:firstRowLastColumn="0" w:lastRowFirstColumn="0" w:lastRowLastColumn="0"/>
            </w:pPr>
            <w:r>
              <w:t>$0</w:t>
            </w:r>
          </w:p>
        </w:tc>
      </w:tr>
      <w:tr w:rsidR="004161F2" w:rsidTr="004161F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701" w:type="pct"/>
            <w:tcBorders>
              <w:top w:val="nil"/>
              <w:bottom w:val="nil"/>
              <w:right w:val="single" w:sz="4" w:space="0" w:color="FFFFFF"/>
            </w:tcBorders>
            <w:shd w:val="clear" w:color="auto" w:fill="D9D9D9"/>
            <w:noWrap/>
          </w:tcPr>
          <w:p w:rsidR="00ED2B37" w:rsidRDefault="004632C5">
            <w:pPr>
              <w:spacing w:before="40" w:after="40" w:line="240" w:lineRule="auto"/>
              <w:rPr>
                <w:rFonts w:eastAsia="MS Mincho" w:cs="Times New Roman"/>
                <w:szCs w:val="22"/>
                <w:lang w:val="en-US"/>
              </w:rPr>
            </w:pPr>
            <w:r>
              <w:rPr>
                <w:b w:val="0"/>
                <w:lang w:val="en-US"/>
              </w:rPr>
              <w:t>Asset/Equipment Replacement &gt; 12 months</w:t>
            </w:r>
          </w:p>
        </w:tc>
        <w:tc>
          <w:tcPr>
            <w:tcW w:w="1299" w:type="pct"/>
            <w:tcBorders>
              <w:top w:val="nil"/>
              <w:left w:val="single" w:sz="4" w:space="0" w:color="FFFFFF"/>
              <w:bottom w:val="nil"/>
            </w:tcBorders>
            <w:shd w:val="clear" w:color="auto" w:fill="D9D9D9"/>
            <w:noWrap/>
            <w:vAlign w:val="center"/>
          </w:tcPr>
          <w:p w:rsidR="00ED2B37" w:rsidRDefault="004632C5">
            <w:pPr>
              <w:jc w:val="right"/>
              <w:cnfStyle w:val="000000100000" w:firstRow="0" w:lastRow="0" w:firstColumn="0" w:lastColumn="0" w:oddVBand="0" w:evenVBand="0" w:oddHBand="1" w:evenHBand="0" w:firstRowFirstColumn="0" w:firstRowLastColumn="0" w:lastRowFirstColumn="0" w:lastRowLastColumn="0"/>
            </w:pPr>
            <w:r>
              <w:t>$0</w:t>
            </w:r>
          </w:p>
        </w:tc>
      </w:tr>
      <w:tr w:rsidR="004161F2" w:rsidTr="004161F2">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701" w:type="pct"/>
            <w:tcBorders>
              <w:top w:val="nil"/>
              <w:bottom w:val="nil"/>
              <w:right w:val="single" w:sz="4" w:space="0" w:color="FFFFFF"/>
            </w:tcBorders>
            <w:shd w:val="clear" w:color="auto" w:fill="auto"/>
            <w:noWrap/>
          </w:tcPr>
          <w:p w:rsidR="00ED2B37" w:rsidRDefault="004632C5">
            <w:pPr>
              <w:spacing w:before="40" w:after="40" w:line="240" w:lineRule="auto"/>
              <w:rPr>
                <w:rFonts w:eastAsia="MS Mincho" w:cs="Times New Roman"/>
                <w:szCs w:val="22"/>
                <w:lang w:val="en-US"/>
              </w:rPr>
            </w:pPr>
            <w:r>
              <w:rPr>
                <w:b w:val="0"/>
                <w:lang w:val="en-US"/>
              </w:rPr>
              <w:t>Capital - Buildings/Grounds &gt; 12 months</w:t>
            </w:r>
          </w:p>
        </w:tc>
        <w:tc>
          <w:tcPr>
            <w:tcW w:w="1299" w:type="pct"/>
            <w:tcBorders>
              <w:top w:val="nil"/>
              <w:left w:val="single" w:sz="4" w:space="0" w:color="FFFFFF"/>
              <w:bottom w:val="nil"/>
            </w:tcBorders>
            <w:shd w:val="clear" w:color="auto" w:fill="auto"/>
            <w:noWrap/>
            <w:vAlign w:val="center"/>
          </w:tcPr>
          <w:p w:rsidR="00ED2B37" w:rsidRDefault="004632C5">
            <w:pPr>
              <w:jc w:val="right"/>
              <w:cnfStyle w:val="000000000000" w:firstRow="0" w:lastRow="0" w:firstColumn="0" w:lastColumn="0" w:oddVBand="0" w:evenVBand="0" w:oddHBand="0" w:evenHBand="0" w:firstRowFirstColumn="0" w:firstRowLastColumn="0" w:lastRowFirstColumn="0" w:lastRowLastColumn="0"/>
            </w:pPr>
            <w:r>
              <w:t>$0</w:t>
            </w:r>
          </w:p>
        </w:tc>
      </w:tr>
      <w:tr w:rsidR="004161F2" w:rsidTr="004161F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701" w:type="pct"/>
            <w:tcBorders>
              <w:top w:val="nil"/>
              <w:bottom w:val="nil"/>
              <w:right w:val="single" w:sz="4" w:space="0" w:color="FFFFFF"/>
            </w:tcBorders>
            <w:shd w:val="clear" w:color="auto" w:fill="D9D9D9"/>
            <w:noWrap/>
          </w:tcPr>
          <w:p w:rsidR="00ED2B37" w:rsidRDefault="004632C5">
            <w:pPr>
              <w:spacing w:before="40" w:after="40" w:line="240" w:lineRule="auto"/>
              <w:rPr>
                <w:rFonts w:eastAsia="MS Mincho" w:cs="Times New Roman"/>
                <w:szCs w:val="22"/>
                <w:lang w:val="en-US"/>
              </w:rPr>
            </w:pPr>
            <w:r>
              <w:rPr>
                <w:b w:val="0"/>
                <w:lang w:val="en-US"/>
              </w:rPr>
              <w:t>Maintenance - Buildings/Grounds &gt; 12 months</w:t>
            </w:r>
          </w:p>
        </w:tc>
        <w:tc>
          <w:tcPr>
            <w:tcW w:w="1299" w:type="pct"/>
            <w:tcBorders>
              <w:top w:val="nil"/>
              <w:left w:val="single" w:sz="4" w:space="0" w:color="FFFFFF"/>
              <w:bottom w:val="nil"/>
            </w:tcBorders>
            <w:shd w:val="clear" w:color="auto" w:fill="D9D9D9"/>
            <w:noWrap/>
            <w:vAlign w:val="center"/>
          </w:tcPr>
          <w:p w:rsidR="00ED2B37" w:rsidRDefault="004632C5">
            <w:pPr>
              <w:jc w:val="right"/>
              <w:cnfStyle w:val="000000100000" w:firstRow="0" w:lastRow="0" w:firstColumn="0" w:lastColumn="0" w:oddVBand="0" w:evenVBand="0" w:oddHBand="1" w:evenHBand="0" w:firstRowFirstColumn="0" w:firstRowLastColumn="0" w:lastRowFirstColumn="0" w:lastRowLastColumn="0"/>
            </w:pPr>
            <w:r>
              <w:t>$0</w:t>
            </w:r>
          </w:p>
        </w:tc>
      </w:tr>
      <w:tr w:rsidR="004161F2" w:rsidTr="004161F2">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701" w:type="pct"/>
            <w:tcBorders>
              <w:top w:val="single" w:sz="2" w:space="0" w:color="106CB5"/>
              <w:bottom w:val="single" w:sz="2" w:space="0" w:color="106CB5"/>
            </w:tcBorders>
            <w:noWrap/>
            <w:vAlign w:val="center"/>
            <w:hideMark/>
          </w:tcPr>
          <w:p w:rsidR="00ED2B37" w:rsidRDefault="004632C5">
            <w:pPr>
              <w:spacing w:before="40" w:after="40" w:line="240" w:lineRule="auto"/>
              <w:rPr>
                <w:rFonts w:eastAsia="MS Mincho" w:cs="Times New Roman"/>
                <w:szCs w:val="22"/>
                <w:lang w:val="en-US"/>
              </w:rPr>
            </w:pPr>
            <w:r>
              <w:rPr>
                <w:rFonts w:eastAsia="MS Mincho" w:cs="Times New Roman"/>
                <w:bCs w:val="0"/>
                <w:szCs w:val="22"/>
                <w:lang w:val="en-US"/>
              </w:rPr>
              <w:t>Total Financial Commitments</w:t>
            </w:r>
          </w:p>
        </w:tc>
        <w:tc>
          <w:tcPr>
            <w:tcW w:w="1299" w:type="pct"/>
            <w:tcBorders>
              <w:top w:val="single" w:sz="2" w:space="0" w:color="106CB5"/>
              <w:bottom w:val="single" w:sz="2" w:space="0" w:color="106CB5"/>
            </w:tcBorders>
            <w:noWrap/>
            <w:vAlign w:val="center"/>
          </w:tcPr>
          <w:p w:rsidR="00ED2B37" w:rsidRDefault="004632C5">
            <w:pPr>
              <w:jc w:val="right"/>
              <w:cnfStyle w:val="000000000000" w:firstRow="0" w:lastRow="0" w:firstColumn="0" w:lastColumn="0" w:oddVBand="0" w:evenVBand="0" w:oddHBand="0" w:evenHBand="0" w:firstRowFirstColumn="0" w:firstRowLastColumn="0" w:lastRowFirstColumn="0" w:lastRowLastColumn="0"/>
            </w:pPr>
            <w:r>
              <w:t>$122,463</w:t>
            </w:r>
          </w:p>
        </w:tc>
      </w:tr>
    </w:tbl>
    <w:p w:rsidR="00ED2B37" w:rsidRDefault="004632C5">
      <w:pPr>
        <w:rPr>
          <w:rFonts w:eastAsia="MS Mincho"/>
        </w:rPr>
      </w:pPr>
    </w:p>
    <w:p w:rsidR="00ED2B37" w:rsidRDefault="004632C5">
      <w:pPr>
        <w:rPr>
          <w:rFonts w:eastAsia="MS Mincho"/>
        </w:rPr>
      </w:pPr>
    </w:p>
    <w:p w:rsidR="00ED2B37" w:rsidRDefault="004632C5">
      <w:pPr>
        <w:numPr>
          <w:ilvl w:val="0"/>
          <w:numId w:val="28"/>
        </w:numPr>
        <w:spacing w:after="0" w:line="240" w:lineRule="auto"/>
        <w:contextualSpacing/>
        <w:rPr>
          <w:rFonts w:eastAsia="MS Mincho"/>
        </w:rPr>
      </w:pPr>
      <w:r>
        <w:rPr>
          <w:rFonts w:eastAsia="MS Mincho"/>
        </w:rPr>
        <w:t>The equity funding reported above is a subset of the overall revenue reported by the school.</w:t>
      </w:r>
    </w:p>
    <w:p w:rsidR="00ED2B37" w:rsidRDefault="004632C5">
      <w:pPr>
        <w:numPr>
          <w:ilvl w:val="0"/>
          <w:numId w:val="28"/>
        </w:numPr>
        <w:spacing w:after="0" w:line="240" w:lineRule="auto"/>
        <w:rPr>
          <w:rFonts w:eastAsia="MS Mincho"/>
        </w:rPr>
      </w:pPr>
      <w:r>
        <w:rPr>
          <w:rFonts w:eastAsia="MS Mincho"/>
        </w:rPr>
        <w:t>Student Resource Package Expenditure figures are as of 26 Feb 2020 and are subject to change during the reconciliation process.</w:t>
      </w:r>
    </w:p>
    <w:p w:rsidR="00ED2B37" w:rsidRDefault="004632C5">
      <w:pPr>
        <w:numPr>
          <w:ilvl w:val="0"/>
          <w:numId w:val="28"/>
        </w:numPr>
        <w:spacing w:after="0" w:line="240" w:lineRule="auto"/>
        <w:rPr>
          <w:rFonts w:eastAsia="MS Mincho"/>
        </w:rPr>
      </w:pPr>
      <w:r>
        <w:rPr>
          <w:rFonts w:eastAsia="MS Mincho"/>
        </w:rPr>
        <w:t>Misc Expenses may include bank charges, health and personal development, administration charges, camp/excursion costs and taxati</w:t>
      </w:r>
      <w:r>
        <w:rPr>
          <w:rFonts w:eastAsia="MS Mincho"/>
        </w:rPr>
        <w:t xml:space="preserve">on charges. </w:t>
      </w:r>
    </w:p>
    <w:p w:rsidR="00ED2B37" w:rsidRDefault="004632C5">
      <w:pPr>
        <w:numPr>
          <w:ilvl w:val="0"/>
          <w:numId w:val="28"/>
        </w:numPr>
        <w:spacing w:line="240" w:lineRule="auto"/>
        <w:ind w:left="357" w:hanging="357"/>
        <w:rPr>
          <w:rFonts w:eastAsia="MS Mincho"/>
        </w:rPr>
      </w:pPr>
      <w:r>
        <w:rPr>
          <w:rFonts w:eastAsia="MS Mincho"/>
        </w:rPr>
        <w:t>Salaries and Allowances refers to school-level payroll.</w:t>
      </w:r>
    </w:p>
    <w:p w:rsidR="00ED2B37" w:rsidRDefault="004632C5">
      <w:pPr>
        <w:rPr>
          <w:rFonts w:eastAsia="MS Mincho"/>
          <w:i/>
        </w:rPr>
      </w:pPr>
      <w:r>
        <w:rPr>
          <w:rFonts w:eastAsia="MS Mincho"/>
          <w:i/>
        </w:rPr>
        <w:t>All funds received from the Department, or raised by the school, have been expended, or committed to subsequent years, to support the achievement of educational outcomes and other operati</w:t>
      </w:r>
      <w:r>
        <w:rPr>
          <w:rFonts w:eastAsia="MS Mincho"/>
          <w:i/>
        </w:rPr>
        <w:t>onal needs of the school, consistent with Department policies, School Council approvals and the intent/purposes for which funding was provided or raised.</w:t>
      </w:r>
    </w:p>
    <w:p w:rsidR="00ED2B37" w:rsidRDefault="004632C5">
      <w:pPr>
        <w:pStyle w:val="ESHeading1"/>
        <w:rPr>
          <w:b w:val="0"/>
          <w:color w:val="auto"/>
          <w:sz w:val="18"/>
          <w:szCs w:val="18"/>
        </w:rPr>
      </w:pPr>
      <w:r>
        <w:rPr>
          <w:b w:val="0"/>
        </w:rPr>
        <w:br w:type="page"/>
      </w:r>
    </w:p>
    <w:p w:rsidR="00ED2B37" w:rsidRDefault="004632C5">
      <w:pPr>
        <w:spacing w:line="340" w:lineRule="atLeast"/>
        <w:jc w:val="center"/>
        <w:outlineLvl w:val="0"/>
        <w:rPr>
          <w:rFonts w:eastAsia="MS Gothic" w:cs="Times New Roman"/>
          <w:b/>
          <w:spacing w:val="5"/>
          <w:kern w:val="28"/>
          <w:sz w:val="44"/>
          <w:szCs w:val="52"/>
        </w:rPr>
      </w:pPr>
      <w:r>
        <w:rPr>
          <w:rFonts w:eastAsia="MS Gothic" w:cs="Times New Roman"/>
          <w:b/>
          <w:spacing w:val="5"/>
          <w:kern w:val="28"/>
          <w:sz w:val="44"/>
          <w:szCs w:val="52"/>
        </w:rPr>
        <w:t>How to read the Annual Report</w:t>
      </w:r>
    </w:p>
    <w:p w:rsidR="00ED2B37" w:rsidRDefault="004632C5">
      <w:pPr>
        <w:spacing w:before="240"/>
        <w:rPr>
          <w:rFonts w:eastAsia="MS Gothic" w:cs="Times New Roman"/>
          <w:b/>
          <w:bCs/>
          <w:caps/>
          <w:color w:val="00008B"/>
          <w:sz w:val="20"/>
          <w:szCs w:val="20"/>
          <w:u w:val="single"/>
        </w:rPr>
      </w:pPr>
      <w:r>
        <w:rPr>
          <w:rFonts w:eastAsia="MS Gothic" w:cs="Times New Roman"/>
          <w:b/>
          <w:bCs/>
          <w:caps/>
          <w:color w:val="00008B"/>
          <w:sz w:val="20"/>
          <w:szCs w:val="20"/>
          <w:u w:val="single"/>
        </w:rPr>
        <w:t xml:space="preserve">What does the </w:t>
      </w:r>
      <w:r w:rsidRPr="005A2650">
        <w:rPr>
          <w:rFonts w:eastAsia="MS Gothic" w:cs="Times New Roman"/>
          <w:b/>
          <w:bCs/>
          <w:i/>
          <w:caps/>
          <w:color w:val="00008B"/>
          <w:sz w:val="20"/>
          <w:szCs w:val="20"/>
          <w:u w:val="single"/>
        </w:rPr>
        <w:t>About Our School</w:t>
      </w:r>
      <w:r>
        <w:rPr>
          <w:rFonts w:eastAsia="MS Gothic" w:cs="Times New Roman"/>
          <w:b/>
          <w:bCs/>
          <w:caps/>
          <w:color w:val="00008B"/>
          <w:sz w:val="20"/>
          <w:szCs w:val="20"/>
          <w:u w:val="single"/>
        </w:rPr>
        <w:t xml:space="preserve"> section refer to?</w:t>
      </w:r>
    </w:p>
    <w:p w:rsidR="00ED2B37" w:rsidRDefault="004632C5">
      <w:pPr>
        <w:spacing w:after="0" w:line="240" w:lineRule="auto"/>
        <w:rPr>
          <w:rFonts w:eastAsia="MS Mincho"/>
        </w:rPr>
      </w:pPr>
      <w:r>
        <w:rPr>
          <w:rFonts w:eastAsia="MS Mincho"/>
        </w:rPr>
        <w:t xml:space="preserve">The About Our School </w:t>
      </w:r>
      <w:r>
        <w:rPr>
          <w:rFonts w:eastAsia="MS Mincho"/>
        </w:rPr>
        <w:t>page provides a brief background on the school, an outline of the school’s performance over the year and</w:t>
      </w:r>
    </w:p>
    <w:p w:rsidR="00ED2B37" w:rsidRDefault="004632C5">
      <w:pPr>
        <w:rPr>
          <w:rFonts w:eastAsia="MS Mincho"/>
        </w:rPr>
      </w:pPr>
      <w:r>
        <w:rPr>
          <w:rFonts w:eastAsia="MS Mincho"/>
        </w:rPr>
        <w:t>plans for the future.</w:t>
      </w:r>
    </w:p>
    <w:p w:rsidR="00ED2B37" w:rsidRDefault="004632C5">
      <w:pPr>
        <w:rPr>
          <w:rFonts w:eastAsia="MS Mincho"/>
        </w:rPr>
      </w:pPr>
      <w:r>
        <w:rPr>
          <w:rFonts w:eastAsia="MS Mincho"/>
        </w:rPr>
        <w:t>The ‘School Context’ describes the school’s vision, values and purpose. Details include the school’s geographic location, size an</w:t>
      </w:r>
      <w:r>
        <w:rPr>
          <w:rFonts w:eastAsia="MS Mincho"/>
        </w:rPr>
        <w:t>d structure, social characteristics, enrolment characteristics and special programs.</w:t>
      </w:r>
    </w:p>
    <w:p w:rsidR="00ED2B37" w:rsidRDefault="004632C5">
      <w:pPr>
        <w:rPr>
          <w:rFonts w:eastAsia="MS Mincho"/>
        </w:rPr>
      </w:pPr>
      <w:r>
        <w:rPr>
          <w:rFonts w:eastAsia="MS Mincho"/>
        </w:rPr>
        <w:t>The ‘Framework for Improving Student Outcomes (FISO)’ section includes the improvement initiatives the school has selected and the progress they have made towards achievin</w:t>
      </w:r>
      <w:r>
        <w:rPr>
          <w:rFonts w:eastAsia="MS Mincho"/>
        </w:rPr>
        <w:t xml:space="preserve">g them.  </w:t>
      </w:r>
    </w:p>
    <w:p w:rsidR="00ED2B37" w:rsidRDefault="004632C5">
      <w:pPr>
        <w:rPr>
          <w:rFonts w:eastAsia="MS Gothic" w:cs="Times New Roman"/>
          <w:b/>
          <w:bCs/>
          <w:caps/>
          <w:color w:val="00008B"/>
          <w:sz w:val="20"/>
          <w:szCs w:val="20"/>
          <w:u w:val="single"/>
        </w:rPr>
      </w:pPr>
      <w:r>
        <w:rPr>
          <w:rFonts w:eastAsia="MS Gothic" w:cs="Times New Roman"/>
          <w:b/>
          <w:bCs/>
          <w:caps/>
          <w:color w:val="00008B"/>
          <w:sz w:val="20"/>
          <w:szCs w:val="20"/>
          <w:u w:val="single"/>
        </w:rPr>
        <w:t xml:space="preserve">What does the </w:t>
      </w:r>
      <w:r>
        <w:rPr>
          <w:rFonts w:eastAsia="MS Gothic" w:cs="Times New Roman"/>
          <w:b/>
          <w:bCs/>
          <w:i/>
          <w:caps/>
          <w:color w:val="00008B"/>
          <w:sz w:val="20"/>
          <w:szCs w:val="20"/>
          <w:u w:val="single"/>
        </w:rPr>
        <w:t>Performance Summary</w:t>
      </w:r>
      <w:r>
        <w:rPr>
          <w:rFonts w:eastAsia="MS Gothic" w:cs="Times New Roman"/>
          <w:b/>
          <w:bCs/>
          <w:caps/>
          <w:color w:val="00008B"/>
          <w:sz w:val="20"/>
          <w:szCs w:val="20"/>
          <w:u w:val="single"/>
        </w:rPr>
        <w:t xml:space="preserve"> section of this report refer to?</w:t>
      </w:r>
    </w:p>
    <w:p w:rsidR="00ED2B37" w:rsidRDefault="004632C5">
      <w:pPr>
        <w:spacing w:after="0" w:line="276" w:lineRule="auto"/>
        <w:rPr>
          <w:rFonts w:eastAsia="Arial" w:cs="Times New Roman"/>
          <w:color w:val="000000"/>
          <w:szCs w:val="20"/>
        </w:rPr>
      </w:pPr>
      <w:r>
        <w:rPr>
          <w:rFonts w:eastAsia="Arial" w:cs="Times New Roman"/>
          <w:color w:val="000000"/>
          <w:szCs w:val="20"/>
        </w:rPr>
        <w:t>The Performance Summary reports on data in three key areas:</w:t>
      </w:r>
    </w:p>
    <w:p w:rsidR="00ED2B37" w:rsidRDefault="004632C5">
      <w:pPr>
        <w:spacing w:before="120" w:after="0" w:line="276" w:lineRule="auto"/>
        <w:rPr>
          <w:rFonts w:eastAsia="Arial" w:cs="Times New Roman"/>
          <w:b/>
          <w:color w:val="000000"/>
          <w:szCs w:val="20"/>
        </w:rPr>
      </w:pPr>
      <w:r>
        <w:rPr>
          <w:rFonts w:eastAsia="Arial" w:cs="Times New Roman"/>
          <w:b/>
          <w:color w:val="000000"/>
          <w:szCs w:val="20"/>
        </w:rPr>
        <w:t>Achievement</w:t>
      </w:r>
    </w:p>
    <w:p w:rsidR="00ED2B37" w:rsidRDefault="004632C5">
      <w:pPr>
        <w:numPr>
          <w:ilvl w:val="0"/>
          <w:numId w:val="29"/>
        </w:numPr>
        <w:spacing w:after="0" w:line="276" w:lineRule="auto"/>
        <w:rPr>
          <w:rFonts w:eastAsia="Arial" w:cs="Times New Roman"/>
          <w:color w:val="000000"/>
          <w:szCs w:val="20"/>
        </w:rPr>
      </w:pPr>
      <w:r>
        <w:rPr>
          <w:rFonts w:eastAsia="Arial" w:cs="Times New Roman"/>
          <w:color w:val="000000"/>
          <w:szCs w:val="20"/>
        </w:rPr>
        <w:t>student achievements in:</w:t>
      </w:r>
    </w:p>
    <w:p w:rsidR="00ED2B37" w:rsidRDefault="004632C5">
      <w:pPr>
        <w:numPr>
          <w:ilvl w:val="0"/>
          <w:numId w:val="30"/>
        </w:numPr>
        <w:spacing w:after="0" w:line="276" w:lineRule="auto"/>
        <w:contextualSpacing/>
        <w:rPr>
          <w:rFonts w:eastAsia="Arial" w:cs="Times New Roman"/>
          <w:color w:val="000000"/>
          <w:szCs w:val="20"/>
        </w:rPr>
      </w:pPr>
      <w:r>
        <w:rPr>
          <w:rFonts w:eastAsia="Arial" w:cs="Times New Roman"/>
          <w:color w:val="000000"/>
          <w:szCs w:val="20"/>
        </w:rPr>
        <w:t>English and Mathematics for National Literacy and Numeracy tests (NAPLAN)</w:t>
      </w:r>
    </w:p>
    <w:p w:rsidR="00ED2B37" w:rsidRDefault="004632C5">
      <w:pPr>
        <w:numPr>
          <w:ilvl w:val="0"/>
          <w:numId w:val="30"/>
        </w:numPr>
        <w:spacing w:after="0" w:line="276" w:lineRule="auto"/>
        <w:contextualSpacing/>
        <w:rPr>
          <w:rFonts w:eastAsia="Arial" w:cs="Times New Roman"/>
          <w:color w:val="000000"/>
          <w:szCs w:val="20"/>
        </w:rPr>
      </w:pPr>
      <w:r>
        <w:rPr>
          <w:rFonts w:eastAsia="Arial" w:cs="Times New Roman"/>
          <w:color w:val="000000"/>
          <w:szCs w:val="20"/>
        </w:rPr>
        <w:t xml:space="preserve">English </w:t>
      </w:r>
      <w:r>
        <w:rPr>
          <w:rFonts w:eastAsia="Arial" w:cs="Times New Roman"/>
          <w:color w:val="000000"/>
          <w:szCs w:val="20"/>
        </w:rPr>
        <w:t>and Mathematics for Teacher Judgements against the curriculum</w:t>
      </w:r>
    </w:p>
    <w:p w:rsidR="00ED2B37" w:rsidRDefault="004632C5">
      <w:pPr>
        <w:numPr>
          <w:ilvl w:val="0"/>
          <w:numId w:val="30"/>
        </w:numPr>
        <w:spacing w:after="0" w:line="276" w:lineRule="auto"/>
        <w:contextualSpacing/>
        <w:rPr>
          <w:rFonts w:eastAsia="Arial" w:cs="Times New Roman"/>
          <w:color w:val="000000"/>
          <w:szCs w:val="20"/>
        </w:rPr>
      </w:pPr>
      <w:r>
        <w:rPr>
          <w:rFonts w:eastAsia="Arial" w:cs="Times New Roman"/>
          <w:color w:val="000000"/>
          <w:szCs w:val="20"/>
        </w:rPr>
        <w:t>All subjects for Victorian Certificate of Education (VCE) examinations (secondary schools).</w:t>
      </w:r>
    </w:p>
    <w:p w:rsidR="00ED2B37" w:rsidRDefault="004632C5">
      <w:pPr>
        <w:spacing w:before="120" w:after="0" w:line="276" w:lineRule="auto"/>
        <w:rPr>
          <w:rFonts w:eastAsia="Arial" w:cs="Times New Roman"/>
          <w:b/>
          <w:color w:val="000000"/>
          <w:szCs w:val="20"/>
        </w:rPr>
      </w:pPr>
      <w:r>
        <w:rPr>
          <w:rFonts w:eastAsia="Arial" w:cs="Times New Roman"/>
          <w:b/>
          <w:color w:val="000000"/>
          <w:szCs w:val="20"/>
        </w:rPr>
        <w:t>Engagement</w:t>
      </w:r>
    </w:p>
    <w:p w:rsidR="00ED2B37" w:rsidRDefault="004632C5">
      <w:pPr>
        <w:numPr>
          <w:ilvl w:val="0"/>
          <w:numId w:val="29"/>
        </w:numPr>
        <w:spacing w:after="0" w:line="276" w:lineRule="auto"/>
        <w:rPr>
          <w:rFonts w:eastAsia="Arial" w:cs="Times New Roman"/>
          <w:color w:val="000000"/>
          <w:szCs w:val="20"/>
        </w:rPr>
      </w:pPr>
      <w:r>
        <w:rPr>
          <w:rFonts w:eastAsia="Arial" w:cs="Times New Roman"/>
          <w:color w:val="000000"/>
          <w:szCs w:val="20"/>
        </w:rPr>
        <w:t>student attendance and engagement at school, including:</w:t>
      </w:r>
    </w:p>
    <w:p w:rsidR="00ED2B37" w:rsidRDefault="004632C5">
      <w:pPr>
        <w:numPr>
          <w:ilvl w:val="0"/>
          <w:numId w:val="30"/>
        </w:numPr>
        <w:spacing w:after="0" w:line="276" w:lineRule="auto"/>
        <w:contextualSpacing/>
        <w:rPr>
          <w:rFonts w:eastAsia="Arial" w:cs="Times New Roman"/>
          <w:color w:val="000000"/>
          <w:szCs w:val="20"/>
        </w:rPr>
      </w:pPr>
      <w:r>
        <w:rPr>
          <w:rFonts w:eastAsia="Arial" w:cs="Times New Roman"/>
          <w:color w:val="000000"/>
          <w:szCs w:val="20"/>
        </w:rPr>
        <w:t>how many students leaving school go</w:t>
      </w:r>
      <w:r>
        <w:rPr>
          <w:rFonts w:eastAsia="Arial" w:cs="Times New Roman"/>
          <w:color w:val="000000"/>
          <w:szCs w:val="20"/>
        </w:rPr>
        <w:t xml:space="preserve"> on to further studies or full-time work (secondary, P-12 and specialist schools)</w:t>
      </w:r>
    </w:p>
    <w:p w:rsidR="00ED2B37" w:rsidRDefault="004632C5">
      <w:pPr>
        <w:spacing w:before="120" w:after="0" w:line="276" w:lineRule="auto"/>
        <w:rPr>
          <w:rFonts w:eastAsia="Arial" w:cs="Times New Roman"/>
          <w:b/>
          <w:color w:val="000000"/>
          <w:szCs w:val="20"/>
        </w:rPr>
      </w:pPr>
      <w:r>
        <w:rPr>
          <w:rFonts w:eastAsia="Arial" w:cs="Times New Roman"/>
          <w:b/>
          <w:color w:val="000000"/>
          <w:szCs w:val="20"/>
        </w:rPr>
        <w:t>Wellbeing</w:t>
      </w:r>
    </w:p>
    <w:p w:rsidR="00ED2B37" w:rsidRDefault="004632C5">
      <w:pPr>
        <w:numPr>
          <w:ilvl w:val="0"/>
          <w:numId w:val="31"/>
        </w:numPr>
        <w:spacing w:after="0" w:line="276" w:lineRule="auto"/>
        <w:rPr>
          <w:rFonts w:eastAsia="Arial" w:cs="Times New Roman"/>
          <w:color w:val="000000"/>
          <w:szCs w:val="20"/>
        </w:rPr>
      </w:pPr>
      <w:r>
        <w:rPr>
          <w:rFonts w:eastAsia="Arial" w:cs="Times New Roman"/>
          <w:color w:val="000000"/>
          <w:szCs w:val="20"/>
        </w:rPr>
        <w:t>Attitudes to School Survey (ATOSS) factors:</w:t>
      </w:r>
    </w:p>
    <w:p w:rsidR="00ED2B37" w:rsidRDefault="004632C5">
      <w:pPr>
        <w:numPr>
          <w:ilvl w:val="1"/>
          <w:numId w:val="32"/>
        </w:numPr>
        <w:spacing w:after="0" w:line="276" w:lineRule="auto"/>
        <w:rPr>
          <w:rFonts w:eastAsia="Arial" w:cs="Times New Roman"/>
          <w:color w:val="000000"/>
          <w:szCs w:val="20"/>
        </w:rPr>
      </w:pPr>
      <w:r>
        <w:rPr>
          <w:rFonts w:eastAsia="Arial" w:cs="Times New Roman"/>
          <w:color w:val="000000"/>
          <w:szCs w:val="20"/>
        </w:rPr>
        <w:t>Sense of Connectedness</w:t>
      </w:r>
    </w:p>
    <w:p w:rsidR="00ED2B37" w:rsidRDefault="004632C5">
      <w:pPr>
        <w:numPr>
          <w:ilvl w:val="1"/>
          <w:numId w:val="32"/>
        </w:numPr>
        <w:spacing w:after="0" w:line="276" w:lineRule="auto"/>
        <w:rPr>
          <w:rFonts w:eastAsia="Arial" w:cs="Times New Roman"/>
          <w:color w:val="000000"/>
          <w:szCs w:val="20"/>
        </w:rPr>
      </w:pPr>
      <w:r>
        <w:rPr>
          <w:rFonts w:eastAsia="Arial" w:cs="Times New Roman"/>
          <w:color w:val="000000"/>
          <w:szCs w:val="20"/>
        </w:rPr>
        <w:t>Management of Bullying</w:t>
      </w:r>
    </w:p>
    <w:p w:rsidR="00ED2B37" w:rsidRDefault="004632C5">
      <w:pPr>
        <w:rPr>
          <w:rFonts w:eastAsia="MS Mincho"/>
        </w:rPr>
      </w:pPr>
      <w:r>
        <w:rPr>
          <w:rFonts w:eastAsia="MS Mincho"/>
        </w:rPr>
        <w:t>Results are displayed for the latest year, as well as the average of the l</w:t>
      </w:r>
      <w:r>
        <w:rPr>
          <w:rFonts w:eastAsia="MS Mincho"/>
        </w:rPr>
        <w:t>ast four years (where available).</w:t>
      </w:r>
    </w:p>
    <w:p w:rsidR="00ED2B37" w:rsidRDefault="004632C5">
      <w:pPr>
        <w:rPr>
          <w:rFonts w:eastAsia="MS Gothic" w:cs="Times New Roman"/>
          <w:b/>
          <w:bCs/>
          <w:caps/>
          <w:color w:val="00008B"/>
          <w:sz w:val="20"/>
          <w:szCs w:val="20"/>
          <w:u w:val="single"/>
        </w:rPr>
      </w:pPr>
      <w:r>
        <w:rPr>
          <w:rFonts w:eastAsia="MS Gothic" w:cs="Times New Roman"/>
          <w:b/>
          <w:bCs/>
          <w:caps/>
          <w:color w:val="00008B"/>
          <w:sz w:val="20"/>
          <w:szCs w:val="20"/>
          <w:u w:val="single"/>
        </w:rPr>
        <w:t xml:space="preserve">What does </w:t>
      </w:r>
      <w:r w:rsidRPr="005A2650">
        <w:rPr>
          <w:rFonts w:eastAsia="MS Gothic" w:cs="Times New Roman"/>
          <w:b/>
          <w:bCs/>
          <w:i/>
          <w:caps/>
          <w:color w:val="00008B"/>
          <w:sz w:val="20"/>
          <w:szCs w:val="20"/>
          <w:u w:val="single"/>
        </w:rPr>
        <w:t>SIMILAR School Comparison</w:t>
      </w:r>
      <w:r>
        <w:rPr>
          <w:rFonts w:eastAsia="MS Gothic" w:cs="Times New Roman"/>
          <w:b/>
          <w:bCs/>
          <w:caps/>
          <w:color w:val="00008B"/>
          <w:sz w:val="20"/>
          <w:szCs w:val="20"/>
          <w:u w:val="single"/>
        </w:rPr>
        <w:t xml:space="preserve"> refer to?</w:t>
      </w:r>
    </w:p>
    <w:p w:rsidR="00ED2B37" w:rsidRDefault="004632C5">
      <w:pPr>
        <w:rPr>
          <w:rFonts w:eastAsia="MS Mincho"/>
        </w:rPr>
      </w:pPr>
      <w:r>
        <w:rPr>
          <w:rFonts w:eastAsia="Arial"/>
          <w:color w:val="000000"/>
        </w:rPr>
        <w:t>The Similar</w:t>
      </w:r>
      <w:r>
        <w:rPr>
          <w:rFonts w:eastAsia="Arial"/>
          <w:i/>
          <w:color w:val="000000"/>
        </w:rPr>
        <w:t xml:space="preserve"> </w:t>
      </w:r>
      <w:r>
        <w:rPr>
          <w:rFonts w:eastAsia="Arial"/>
          <w:color w:val="000000"/>
        </w:rPr>
        <w:t>School Comparison is a way of comparing this school’s performance to similar schools in Victoria.</w:t>
      </w:r>
    </w:p>
    <w:p w:rsidR="00ED2B37" w:rsidRDefault="004632C5">
      <w:pPr>
        <w:rPr>
          <w:rFonts w:eastAsia="Arial"/>
          <w:color w:val="000000"/>
        </w:rPr>
      </w:pPr>
      <w:r>
        <w:rPr>
          <w:rFonts w:eastAsia="Arial"/>
          <w:color w:val="000000"/>
        </w:rPr>
        <w:t>Th</w:t>
      </w:r>
      <w:r>
        <w:rPr>
          <w:rFonts w:eastAsia="Arial"/>
          <w:color w:val="000000"/>
          <w:sz w:val="16"/>
        </w:rPr>
        <w:t>e</w:t>
      </w:r>
      <w:r>
        <w:rPr>
          <w:rFonts w:eastAsia="Arial"/>
          <w:color w:val="000000"/>
        </w:rPr>
        <w:t xml:space="preserve"> comparison measure takes into account the school’s socio-econo</w:t>
      </w:r>
      <w:r>
        <w:rPr>
          <w:rFonts w:eastAsia="Arial"/>
          <w:color w:val="000000"/>
        </w:rPr>
        <w:t>mic background of students, the number of non-English speaking students and the size and location of the school.</w:t>
      </w:r>
    </w:p>
    <w:p w:rsidR="00ED2B37" w:rsidRDefault="004632C5">
      <w:pPr>
        <w:spacing w:after="240"/>
      </w:pPr>
      <w:r>
        <w:rPr>
          <w:rFonts w:eastAsia="Arial"/>
          <w:color w:val="000000"/>
        </w:rPr>
        <w:t>The Similar School Comparison</w:t>
      </w:r>
      <w:r>
        <w:rPr>
          <w:rFonts w:eastAsia="Arial"/>
          <w:i/>
          <w:color w:val="000000"/>
        </w:rPr>
        <w:t xml:space="preserve"> </w:t>
      </w:r>
      <w:r>
        <w:rPr>
          <w:rFonts w:eastAsia="Arial"/>
          <w:color w:val="000000"/>
        </w:rPr>
        <w:t>will identify if a school’s result is ‘</w:t>
      </w:r>
      <w:r>
        <w:rPr>
          <w:rFonts w:eastAsia="Arial"/>
          <w:b/>
          <w:color w:val="000000"/>
        </w:rPr>
        <w:t>Similar</w:t>
      </w:r>
      <w:r>
        <w:rPr>
          <w:rFonts w:eastAsia="Arial"/>
          <w:color w:val="000000"/>
        </w:rPr>
        <w:t>’, ‘</w:t>
      </w:r>
      <w:r>
        <w:rPr>
          <w:rFonts w:eastAsia="Arial"/>
          <w:b/>
          <w:color w:val="000000"/>
        </w:rPr>
        <w:t>Above</w:t>
      </w:r>
      <w:r>
        <w:rPr>
          <w:rFonts w:eastAsia="Arial"/>
          <w:color w:val="000000"/>
        </w:rPr>
        <w:t>’, or ‘</w:t>
      </w:r>
      <w:r>
        <w:rPr>
          <w:rFonts w:eastAsia="Arial"/>
          <w:b/>
          <w:color w:val="000000"/>
        </w:rPr>
        <w:t>Below</w:t>
      </w:r>
      <w:r>
        <w:rPr>
          <w:rFonts w:eastAsia="Arial"/>
          <w:color w:val="000000"/>
        </w:rPr>
        <w:t xml:space="preserve">’ relative to the similar schools group with </w:t>
      </w:r>
      <w:r>
        <w:rPr>
          <w:rFonts w:eastAsia="Arial"/>
          <w:color w:val="000000"/>
        </w:rPr>
        <w:t>similar characteristics and is available for latest year data only.</w:t>
      </w:r>
    </w:p>
    <w:p w:rsidR="00ED2B37" w:rsidRDefault="004632C5">
      <w:pPr>
        <w:rPr>
          <w:rFonts w:eastAsia="MS Gothic" w:cs="Times New Roman"/>
          <w:b/>
          <w:bCs/>
          <w:caps/>
          <w:color w:val="00008B"/>
          <w:sz w:val="20"/>
          <w:szCs w:val="20"/>
          <w:u w:val="single"/>
        </w:rPr>
      </w:pPr>
      <w:r>
        <w:rPr>
          <w:rFonts w:eastAsia="MS Gothic" w:cs="Times New Roman"/>
          <w:b/>
          <w:bCs/>
          <w:caps/>
          <w:color w:val="00008B"/>
          <w:sz w:val="20"/>
          <w:szCs w:val="20"/>
          <w:u w:val="single"/>
        </w:rPr>
        <w:t>What does ‘</w:t>
      </w:r>
      <w:r w:rsidRPr="005A2650">
        <w:rPr>
          <w:rFonts w:eastAsia="MS Gothic" w:cs="Times New Roman"/>
          <w:b/>
          <w:bCs/>
          <w:i/>
          <w:caps/>
          <w:color w:val="00008B"/>
          <w:sz w:val="20"/>
          <w:szCs w:val="20"/>
          <w:u w:val="single"/>
        </w:rPr>
        <w:t>Data not available</w:t>
      </w:r>
      <w:r>
        <w:rPr>
          <w:rFonts w:eastAsia="MS Gothic" w:cs="Times New Roman"/>
          <w:b/>
          <w:bCs/>
          <w:caps/>
          <w:color w:val="00008B"/>
          <w:sz w:val="20"/>
          <w:szCs w:val="20"/>
          <w:u w:val="single"/>
        </w:rPr>
        <w:t>’ or ‘</w:t>
      </w:r>
      <w:r w:rsidRPr="005A2650">
        <w:rPr>
          <w:rFonts w:eastAsia="MS Gothic" w:cs="Times New Roman"/>
          <w:b/>
          <w:bCs/>
          <w:i/>
          <w:caps/>
          <w:color w:val="00008B"/>
          <w:sz w:val="20"/>
          <w:szCs w:val="20"/>
          <w:u w:val="single"/>
        </w:rPr>
        <w:t>np</w:t>
      </w:r>
      <w:r>
        <w:rPr>
          <w:rFonts w:eastAsia="MS Gothic" w:cs="Times New Roman"/>
          <w:b/>
          <w:bCs/>
          <w:caps/>
          <w:color w:val="00008B"/>
          <w:sz w:val="20"/>
          <w:szCs w:val="20"/>
          <w:u w:val="single"/>
        </w:rPr>
        <w:t>’ mean?</w:t>
      </w:r>
    </w:p>
    <w:p w:rsidR="00ED2B37" w:rsidRDefault="004632C5">
      <w:pPr>
        <w:spacing w:line="240" w:lineRule="auto"/>
        <w:rPr>
          <w:rFonts w:eastAsia="Arial" w:cs="Times New Roman"/>
          <w:color w:val="000000"/>
          <w:szCs w:val="20"/>
        </w:rPr>
      </w:pPr>
      <w:r>
        <w:rPr>
          <w:rFonts w:eastAsia="Arial" w:cs="Times New Roman"/>
          <w:color w:val="000000"/>
          <w:szCs w:val="20"/>
        </w:rPr>
        <w:t>Some schools have too few students enrolled to provide data. There may be no students enrolled in some year levels so school comparisons are no</w:t>
      </w:r>
      <w:r>
        <w:rPr>
          <w:rFonts w:eastAsia="Arial" w:cs="Times New Roman"/>
          <w:color w:val="000000"/>
          <w:szCs w:val="20"/>
        </w:rPr>
        <w:t xml:space="preserve">t possible. </w:t>
      </w:r>
    </w:p>
    <w:p w:rsidR="00ED2B37" w:rsidRDefault="004632C5">
      <w:pPr>
        <w:spacing w:line="240" w:lineRule="auto"/>
        <w:rPr>
          <w:rFonts w:eastAsia="Arial" w:cs="Times New Roman"/>
          <w:color w:val="000000"/>
          <w:szCs w:val="20"/>
        </w:rPr>
      </w:pPr>
      <w:r>
        <w:rPr>
          <w:rFonts w:eastAsia="Arial" w:cs="Times New Roman"/>
          <w:color w:val="000000"/>
          <w:szCs w:val="20"/>
        </w:rPr>
        <w:t xml:space="preserve">New schools have only the latest year of data and no comparative data from previous years. </w:t>
      </w:r>
    </w:p>
    <w:p w:rsidR="00ED2B37" w:rsidRDefault="004632C5">
      <w:pPr>
        <w:spacing w:line="240" w:lineRule="auto"/>
        <w:rPr>
          <w:rFonts w:eastAsia="MS Mincho"/>
        </w:rPr>
      </w:pPr>
      <w:r>
        <w:rPr>
          <w:rFonts w:eastAsia="Arial" w:cs="Times New Roman"/>
          <w:color w:val="000000"/>
          <w:szCs w:val="20"/>
        </w:rPr>
        <w:t>The Department also recognises unique circumstances in Specialist, Select Entry, English Language</w:t>
      </w:r>
      <w:r>
        <w:rPr>
          <w:rFonts w:eastAsia="Arial" w:cs="Times New Roman"/>
          <w:color w:val="000000"/>
          <w:szCs w:val="20"/>
        </w:rPr>
        <w:t>,</w:t>
      </w:r>
      <w:r>
        <w:rPr>
          <w:rFonts w:eastAsia="Arial" w:cs="Times New Roman"/>
          <w:color w:val="000000"/>
          <w:szCs w:val="20"/>
        </w:rPr>
        <w:t xml:space="preserve"> Community Schools</w:t>
      </w:r>
      <w:r>
        <w:rPr>
          <w:rFonts w:eastAsia="Arial" w:cs="Times New Roman"/>
          <w:color w:val="000000"/>
          <w:szCs w:val="20"/>
        </w:rPr>
        <w:t xml:space="preserve"> and schools that changed school type recently,</w:t>
      </w:r>
      <w:r>
        <w:rPr>
          <w:rFonts w:eastAsia="Arial" w:cs="Times New Roman"/>
          <w:color w:val="000000"/>
          <w:szCs w:val="20"/>
        </w:rPr>
        <w:t xml:space="preserve"> where </w:t>
      </w:r>
      <w:r>
        <w:rPr>
          <w:rFonts w:eastAsia="MS Mincho"/>
        </w:rPr>
        <w:t>school-to-school comparisons are not appropriate.</w:t>
      </w:r>
    </w:p>
    <w:p w:rsidR="00ED2B37" w:rsidRDefault="004632C5">
      <w:pPr>
        <w:rPr>
          <w:rFonts w:eastAsia="MS Gothic" w:cs="Times New Roman"/>
          <w:b/>
          <w:bCs/>
          <w:caps/>
          <w:color w:val="00008B"/>
          <w:sz w:val="20"/>
          <w:szCs w:val="20"/>
          <w:u w:val="single"/>
        </w:rPr>
      </w:pPr>
      <w:r>
        <w:rPr>
          <w:rFonts w:eastAsia="MS Gothic" w:cs="Times New Roman"/>
          <w:b/>
          <w:bCs/>
          <w:caps/>
          <w:color w:val="00008B"/>
          <w:sz w:val="20"/>
          <w:szCs w:val="20"/>
          <w:u w:val="single"/>
        </w:rPr>
        <w:t xml:space="preserve">What is the </w:t>
      </w:r>
      <w:r w:rsidRPr="005A2650">
        <w:rPr>
          <w:rFonts w:eastAsia="MS Gothic" w:cs="Times New Roman"/>
          <w:b/>
          <w:bCs/>
          <w:i/>
          <w:caps/>
          <w:color w:val="00008B"/>
          <w:sz w:val="20"/>
          <w:szCs w:val="20"/>
          <w:u w:val="single"/>
        </w:rPr>
        <w:t>Victorian Curriculum</w:t>
      </w:r>
      <w:r>
        <w:rPr>
          <w:rFonts w:eastAsia="MS Gothic" w:cs="Times New Roman"/>
          <w:b/>
          <w:bCs/>
          <w:caps/>
          <w:color w:val="00008B"/>
          <w:sz w:val="20"/>
          <w:szCs w:val="20"/>
          <w:u w:val="single"/>
        </w:rPr>
        <w:t>?</w:t>
      </w:r>
    </w:p>
    <w:p w:rsidR="00ED2B37" w:rsidRDefault="004632C5">
      <w:pPr>
        <w:spacing w:line="240" w:lineRule="auto"/>
        <w:rPr>
          <w:rFonts w:eastAsia="Arial"/>
          <w:color w:val="000000"/>
        </w:rPr>
      </w:pPr>
      <w:r>
        <w:rPr>
          <w:rFonts w:eastAsia="Arial"/>
          <w:color w:val="000000"/>
        </w:rPr>
        <w:t>The Victorian Curriculum F–10 sets out what every student should learn during his or her first eleven years of schooli</w:t>
      </w:r>
      <w:r>
        <w:rPr>
          <w:rFonts w:eastAsia="Arial"/>
          <w:color w:val="000000"/>
        </w:rPr>
        <w:t xml:space="preserve">ng. The curriculum is the common set of knowledge and skills required by students for life-long learning, social development and active and informed citizenship. </w:t>
      </w:r>
    </w:p>
    <w:p w:rsidR="00ED2B37" w:rsidRDefault="004632C5">
      <w:pPr>
        <w:spacing w:line="240" w:lineRule="auto"/>
        <w:rPr>
          <w:rFonts w:eastAsia="MS Mincho"/>
        </w:rPr>
      </w:pPr>
      <w:r>
        <w:rPr>
          <w:rFonts w:eastAsia="Arial"/>
          <w:color w:val="000000"/>
        </w:rPr>
        <w:t>The curriculum has been developed to ensure that school subjects and their achievement standa</w:t>
      </w:r>
      <w:r>
        <w:rPr>
          <w:rFonts w:eastAsia="Arial"/>
          <w:color w:val="000000"/>
        </w:rPr>
        <w:t>rds enable continuous learning for all students, including students with disabilities.</w:t>
      </w:r>
    </w:p>
    <w:p w:rsidR="00ED2B37" w:rsidRDefault="004632C5">
      <w:pPr>
        <w:spacing w:line="240" w:lineRule="auto"/>
        <w:rPr>
          <w:rFonts w:eastAsia="Arial"/>
          <w:color w:val="000000"/>
        </w:rPr>
      </w:pPr>
      <w:r>
        <w:rPr>
          <w:rFonts w:eastAsia="Arial"/>
          <w:color w:val="000000"/>
        </w:rPr>
        <w:t>The ‘Towards Foundation Level Victorian Curriculum’ is integrated directly into the curriculum and is referred to as ‘Levels A to D’.</w:t>
      </w:r>
    </w:p>
    <w:p w:rsidR="00ED2B37" w:rsidRDefault="004632C5">
      <w:pPr>
        <w:spacing w:line="240" w:lineRule="auto"/>
        <w:rPr>
          <w:rFonts w:eastAsia="Arial"/>
          <w:color w:val="000000"/>
        </w:rPr>
      </w:pPr>
      <w:r>
        <w:rPr>
          <w:rFonts w:eastAsia="Arial"/>
          <w:color w:val="000000"/>
        </w:rPr>
        <w:t>‘Levels A to D’ may be used for stu</w:t>
      </w:r>
      <w:r>
        <w:rPr>
          <w:rFonts w:eastAsia="Arial"/>
          <w:color w:val="000000"/>
        </w:rPr>
        <w:t>dents with a disability or students who may have additional learning needs.</w:t>
      </w:r>
    </w:p>
    <w:p w:rsidR="00ED2B37" w:rsidRDefault="004632C5">
      <w:pPr>
        <w:spacing w:line="240" w:lineRule="auto"/>
        <w:rPr>
          <w:i/>
        </w:rPr>
      </w:pPr>
      <w:r>
        <w:rPr>
          <w:rFonts w:eastAsia="Arial"/>
          <w:color w:val="000000"/>
        </w:rPr>
        <w:t>‘Levels A to D’ are not associated with any set age or year level that links chronological age to cognitive progress (i.e. there is no age expected standard of achievement for ‘Lev</w:t>
      </w:r>
      <w:r>
        <w:rPr>
          <w:rFonts w:eastAsia="Arial"/>
          <w:color w:val="000000"/>
        </w:rPr>
        <w:t>els A to D’).</w:t>
      </w:r>
    </w:p>
    <w:sectPr w:rsidR="00ED2B37">
      <w:headerReference w:type="default" r:id="rId27"/>
      <w:footerReference w:type="default" r:id="rId28"/>
      <w:headerReference w:type="first" r:id="rId29"/>
      <w:pgSz w:w="11900" w:h="16840"/>
      <w:pgMar w:top="1418" w:right="567" w:bottom="851" w:left="567" w:header="284" w:footer="464"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632C5">
      <w:pPr>
        <w:spacing w:after="0" w:line="240" w:lineRule="auto"/>
      </w:pPr>
      <w:r>
        <w:separator/>
      </w:r>
    </w:p>
  </w:endnote>
  <w:endnote w:type="continuationSeparator" w:id="0">
    <w:p w:rsidR="00000000" w:rsidRDefault="00463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6DE" w:rsidRDefault="004632C5" w:rsidP="00B076D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576DE" w:rsidRDefault="004632C5" w:rsidP="00B076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6DE" w:rsidRPr="003E29B5" w:rsidRDefault="004632C5" w:rsidP="00B076DB">
    <w:r w:rsidRPr="003E29B5">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6DE" w:rsidRPr="007839E6" w:rsidRDefault="004632C5" w:rsidP="00362A9C">
    <w:pPr>
      <w:pStyle w:val="ESImageorGraphTitle"/>
      <w:rPr>
        <w:b w:val="0"/>
        <w:sz w:val="15"/>
        <w:szCs w:val="15"/>
      </w:rPr>
    </w:pPr>
    <w:r w:rsidRPr="007839E6">
      <w:rPr>
        <w:b w:val="0"/>
        <w:noProof/>
        <w:sz w:val="15"/>
        <w:szCs w:val="15"/>
      </w:rPr>
      <w:t>Greensborough Primary School (2062)</w:t>
    </w:r>
    <w:r w:rsidRPr="007839E6">
      <w:rPr>
        <w:b w:val="0"/>
        <w:noProof/>
        <w:sz w:val="15"/>
        <w:szCs w:val="15"/>
        <w:lang w:val="en-AU" w:eastAsia="en-AU"/>
      </w:rPr>
      <w:drawing>
        <wp:anchor distT="0" distB="0" distL="114300" distR="114300" simplePos="0" relativeHeight="251668480"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208384299"/>
      <w:docPartObj>
        <w:docPartGallery w:val="Page Numbers (Bottom of Page)"/>
        <w:docPartUnique/>
      </w:docPartObj>
    </w:sdtPr>
    <w:sdtEndPr>
      <w:rPr>
        <w:noProof/>
      </w:rPr>
    </w:sdtEndPr>
    <w:sdtContent>
      <w:p w:rsidR="00B576DE" w:rsidRPr="007B2B29" w:rsidRDefault="004632C5" w:rsidP="00B076DB">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3928465"/>
      <w:docPartObj>
        <w:docPartGallery w:val="Page Numbers (Bottom of Page)"/>
        <w:docPartUnique/>
      </w:docPartObj>
    </w:sdtPr>
    <w:sdtEndPr>
      <w:rPr>
        <w:noProof/>
      </w:rPr>
    </w:sdtEndPr>
    <w:sdtContent>
      <w:p w:rsidR="00ED2B37" w:rsidRDefault="004632C5">
        <w:pPr>
          <w:pStyle w:val="Footer"/>
          <w:jc w:val="right"/>
        </w:pPr>
        <w:r>
          <w:fldChar w:fldCharType="begin"/>
        </w:r>
        <w:r>
          <w:instrText xml:space="preserve"> PAGE   \* MERGEFORMAT </w:instrText>
        </w:r>
        <w:r>
          <w:fldChar w:fldCharType="separate"/>
        </w:r>
        <w:r>
          <w:rPr>
            <w:noProof/>
          </w:rPr>
          <w:t>11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632C5">
      <w:pPr>
        <w:spacing w:after="0" w:line="240" w:lineRule="auto"/>
      </w:pPr>
      <w:r>
        <w:separator/>
      </w:r>
    </w:p>
  </w:footnote>
  <w:footnote w:type="continuationSeparator" w:id="0">
    <w:p w:rsidR="00000000" w:rsidRDefault="004632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6DE" w:rsidRDefault="004632C5">
    <w:r>
      <w:rPr>
        <w:noProof/>
        <w:lang w:val="en-AU" w:eastAsia="en-AU"/>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align>center</wp:align>
              </wp:positionV>
              <wp:extent cx="6350000" cy="2286000"/>
              <wp:effectExtent l="0" t="1428750" r="0" b="127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B576DE" w:rsidRDefault="004632C5"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0" o:spid="_x0000_s2049"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1312" filled="f" stroked="f">
              <o:lock v:ext="edit" shapetype="t"/>
              <v:textbox style="mso-fit-shape-to-text:t">
                <w:txbxContent>
                  <w:p w:rsidR="00B576DE" w:rsidP="00AF143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6DE" w:rsidRDefault="004632C5">
    <w:pPr>
      <w:pStyle w:val="Header"/>
    </w:pPr>
    <w:r w:rsidRPr="000C104E">
      <w:rPr>
        <w:noProof/>
        <w:lang w:val="en-AU" w:eastAsia="en-AU"/>
      </w:rPr>
      <w:drawing>
        <wp:anchor distT="0" distB="0" distL="114300" distR="114300" simplePos="0" relativeHeight="251666432" behindDoc="1" locked="0" layoutInCell="1" allowOverlap="1">
          <wp:simplePos x="0" y="0"/>
          <wp:positionH relativeFrom="column">
            <wp:posOffset>7883858</wp:posOffset>
          </wp:positionH>
          <wp:positionV relativeFrom="paragraph">
            <wp:posOffset>-378460</wp:posOffset>
          </wp:positionV>
          <wp:extent cx="1991003" cy="743054"/>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B576DE" w:rsidRDefault="004632C5"/>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6DE" w:rsidRDefault="004632C5">
    <w:r>
      <w:rPr>
        <w:noProof/>
        <w:lang w:val="en-AU" w:eastAsia="en-AU"/>
      </w:rPr>
      <mc:AlternateContent>
        <mc:Choice Requires="wps">
          <w:drawing>
            <wp:anchor distT="0" distB="0" distL="114300" distR="114300" simplePos="0" relativeHeight="251658240" behindDoc="0" locked="0" layoutInCell="1" allowOverlap="1">
              <wp:simplePos x="0" y="0"/>
              <wp:positionH relativeFrom="page">
                <wp:align>center</wp:align>
              </wp:positionH>
              <wp:positionV relativeFrom="page">
                <wp:align>center</wp:align>
              </wp:positionV>
              <wp:extent cx="6350000" cy="2286000"/>
              <wp:effectExtent l="0" t="1428750" r="0" b="127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B576DE" w:rsidRDefault="004632C5"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9" o:spid="_x0000_s2050"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59264" filled="f" stroked="f">
              <o:lock v:ext="edit" shapetype="t"/>
              <v:textbox style="mso-fit-shape-to-text:t">
                <w:txbxContent>
                  <w:p w:rsidR="00B576DE" w:rsidP="00AF143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6DE" w:rsidRDefault="004632C5">
    <w:r>
      <w:rPr>
        <w:noProof/>
        <w:lang w:val="en-AU" w:eastAsia="en-AU"/>
      </w:rPr>
      <mc:AlternateContent>
        <mc:Choice Requires="wps">
          <w:drawing>
            <wp:anchor distT="0" distB="0" distL="114300" distR="114300" simplePos="0" relativeHeight="251664384" behindDoc="0" locked="0" layoutInCell="1" allowOverlap="1">
              <wp:simplePos x="0" y="0"/>
              <wp:positionH relativeFrom="page">
                <wp:align>center</wp:align>
              </wp:positionH>
              <wp:positionV relativeFrom="page">
                <wp:align>center</wp:align>
              </wp:positionV>
              <wp:extent cx="6350000" cy="2286000"/>
              <wp:effectExtent l="0" t="1428750" r="0" b="127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B576DE" w:rsidRDefault="004632C5"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1"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5408" filled="f" stroked="f">
              <o:lock v:ext="edit" shapetype="t"/>
              <v:textbox style="mso-fit-shape-to-text:t">
                <w:txbxContent>
                  <w:p w:rsidR="00B576DE"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6DE" w:rsidRPr="00FE3A95" w:rsidRDefault="004632C5" w:rsidP="00FE3A95">
    <w:pPr>
      <w:jc w:val="right"/>
      <w:rPr>
        <w:sz w:val="22"/>
        <w:szCs w:val="22"/>
      </w:rPr>
    </w:pPr>
    <w:r w:rsidRPr="00FE3A95">
      <w:rPr>
        <w:noProof/>
        <w:sz w:val="22"/>
        <w:szCs w:val="22"/>
      </w:rPr>
      <w:t>Greensborough Primary School (2062)</w:t>
    </w:r>
    <w:r w:rsidRPr="00FE3A95">
      <w:rPr>
        <w:noProof/>
        <w:sz w:val="22"/>
        <w:szCs w:val="22"/>
        <w:lang w:val="en-AU" w:eastAsia="en-AU"/>
      </w:rPr>
      <w:drawing>
        <wp:anchor distT="0" distB="0" distL="114300" distR="114300" simplePos="0" relativeHeight="251667456"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6DE" w:rsidRDefault="004632C5">
    <w:r>
      <w:rPr>
        <w:noProof/>
        <w:lang w:val="en-AU" w:eastAsia="en-AU"/>
      </w:rPr>
      <mc:AlternateContent>
        <mc:Choice Requires="wps">
          <w:drawing>
            <wp:anchor distT="0" distB="0" distL="114300" distR="114300" simplePos="0" relativeHeight="251662336" behindDoc="0" locked="0" layoutInCell="1" allowOverlap="1">
              <wp:simplePos x="0" y="0"/>
              <wp:positionH relativeFrom="page">
                <wp:align>center</wp:align>
              </wp:positionH>
              <wp:positionV relativeFrom="page">
                <wp:align>center</wp:align>
              </wp:positionV>
              <wp:extent cx="6350000" cy="2286000"/>
              <wp:effectExtent l="0" t="1428750" r="0" b="127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B576DE" w:rsidRDefault="004632C5"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2052"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3360" filled="f" stroked="f">
              <o:lock v:ext="edit" shapetype="t"/>
              <v:textbox style="mso-fit-shape-to-text:t">
                <w:txbxContent>
                  <w:p w:rsidR="00B576DE"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B37" w:rsidRDefault="004632C5">
    <w:pPr>
      <w:pStyle w:val="Header"/>
      <w:spacing w:before="240"/>
    </w:pPr>
    <w:r>
      <w:rPr>
        <w:noProof/>
        <w:lang w:val="en-AU" w:eastAsia="en-AU"/>
      </w:rPr>
      <w:drawing>
        <wp:inline distT="0" distB="0" distL="0" distR="0">
          <wp:extent cx="1471910" cy="512445"/>
          <wp:effectExtent l="0" t="0" r="0" b="1905"/>
          <wp:docPr id="1196090706" name="img3.jpg" descr="Victorian State Government Education and Training logo"/>
          <wp:cNvGraphicFramePr/>
          <a:graphic xmlns:a="http://schemas.openxmlformats.org/drawingml/2006/main">
            <a:graphicData uri="http://schemas.openxmlformats.org/drawingml/2006/picture">
              <pic:pic xmlns:pic="http://schemas.openxmlformats.org/drawingml/2006/picture">
                <pic:nvPicPr>
                  <pic:cNvPr id="1" name="img3.jpg"/>
                  <pic:cNvPicPr/>
                </pic:nvPicPr>
                <pic:blipFill>
                  <a:blip r:embed="rId1" cstate="print"/>
                  <a:stretch>
                    <a:fillRect/>
                  </a:stretch>
                </pic:blipFill>
                <pic:spPr>
                  <a:xfrm>
                    <a:off x="0" y="0"/>
                    <a:ext cx="1574060" cy="548008"/>
                  </a:xfrm>
                  <a:prstGeom prst="rect">
                    <a:avLst/>
                  </a:prstGeom>
                </pic:spPr>
              </pic:pic>
            </a:graphicData>
          </a:graphic>
        </wp:inline>
      </w:drawing>
    </w:r>
    <w:r>
      <w:ptab w:relativeTo="margin" w:alignment="center" w:leader="none"/>
    </w:r>
    <w:r>
      <w:ptab w:relativeTo="margin" w:alignment="right" w:leader="none"/>
    </w:r>
    <w:r>
      <w:rPr>
        <w:noProof/>
        <w:sz w:val="22"/>
        <w:lang w:val="en-AU" w:eastAsia="en-AU"/>
      </w:rPr>
      <w:t xml:space="preserve">Greensborough Primary School </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B37" w:rsidRDefault="004632C5">
    <w:pPr>
      <w:pStyle w:val="Header"/>
      <w:ind w:left="-993"/>
    </w:pPr>
    <w:r>
      <w:ptab w:relativeTo="margin" w:alignment="left" w:leader="none"/>
    </w:r>
  </w:p>
  <w:p w:rsidR="00ED2B37" w:rsidRDefault="004632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15:restartNumberingAfterBreak="0">
    <w:nsid w:val="FFFFFF7C"/>
    <w:multiLevelType w:val="singleLevel"/>
    <w:tmpl w:val="C9844D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EDC9C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1ED4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21843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36ABC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8632EA"/>
    <w:multiLevelType w:val="multilevel"/>
    <w:tmpl w:val="1388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9961710"/>
    <w:multiLevelType w:val="hybridMultilevel"/>
    <w:tmpl w:val="81F4FC2E"/>
    <w:lvl w:ilvl="0" w:tplc="56FC7C64">
      <w:start w:val="1"/>
      <w:numFmt w:val="bullet"/>
      <w:lvlText w:val=""/>
      <w:lvlJc w:val="left"/>
      <w:pPr>
        <w:ind w:left="720" w:hanging="360"/>
      </w:pPr>
      <w:rPr>
        <w:rFonts w:ascii="Symbol" w:hAnsi="Symbol" w:hint="default"/>
      </w:rPr>
    </w:lvl>
    <w:lvl w:ilvl="1" w:tplc="814249AC" w:tentative="1">
      <w:start w:val="1"/>
      <w:numFmt w:val="bullet"/>
      <w:lvlText w:val="o"/>
      <w:lvlJc w:val="left"/>
      <w:pPr>
        <w:ind w:left="1440" w:hanging="360"/>
      </w:pPr>
      <w:rPr>
        <w:rFonts w:ascii="Courier New" w:hAnsi="Courier New" w:cs="Courier New" w:hint="default"/>
      </w:rPr>
    </w:lvl>
    <w:lvl w:ilvl="2" w:tplc="DEDC23F8" w:tentative="1">
      <w:start w:val="1"/>
      <w:numFmt w:val="bullet"/>
      <w:lvlText w:val=""/>
      <w:lvlJc w:val="left"/>
      <w:pPr>
        <w:ind w:left="2160" w:hanging="360"/>
      </w:pPr>
      <w:rPr>
        <w:rFonts w:ascii="Wingdings" w:hAnsi="Wingdings" w:hint="default"/>
      </w:rPr>
    </w:lvl>
    <w:lvl w:ilvl="3" w:tplc="3FF4FD10" w:tentative="1">
      <w:start w:val="1"/>
      <w:numFmt w:val="bullet"/>
      <w:lvlText w:val=""/>
      <w:lvlJc w:val="left"/>
      <w:pPr>
        <w:ind w:left="2880" w:hanging="360"/>
      </w:pPr>
      <w:rPr>
        <w:rFonts w:ascii="Symbol" w:hAnsi="Symbol" w:hint="default"/>
      </w:rPr>
    </w:lvl>
    <w:lvl w:ilvl="4" w:tplc="E2929BD8" w:tentative="1">
      <w:start w:val="1"/>
      <w:numFmt w:val="bullet"/>
      <w:lvlText w:val="o"/>
      <w:lvlJc w:val="left"/>
      <w:pPr>
        <w:ind w:left="3600" w:hanging="360"/>
      </w:pPr>
      <w:rPr>
        <w:rFonts w:ascii="Courier New" w:hAnsi="Courier New" w:cs="Courier New" w:hint="default"/>
      </w:rPr>
    </w:lvl>
    <w:lvl w:ilvl="5" w:tplc="1BA4E226" w:tentative="1">
      <w:start w:val="1"/>
      <w:numFmt w:val="bullet"/>
      <w:lvlText w:val=""/>
      <w:lvlJc w:val="left"/>
      <w:pPr>
        <w:ind w:left="4320" w:hanging="360"/>
      </w:pPr>
      <w:rPr>
        <w:rFonts w:ascii="Wingdings" w:hAnsi="Wingdings" w:hint="default"/>
      </w:rPr>
    </w:lvl>
    <w:lvl w:ilvl="6" w:tplc="612AEB3C" w:tentative="1">
      <w:start w:val="1"/>
      <w:numFmt w:val="bullet"/>
      <w:lvlText w:val=""/>
      <w:lvlJc w:val="left"/>
      <w:pPr>
        <w:ind w:left="5040" w:hanging="360"/>
      </w:pPr>
      <w:rPr>
        <w:rFonts w:ascii="Symbol" w:hAnsi="Symbol" w:hint="default"/>
      </w:rPr>
    </w:lvl>
    <w:lvl w:ilvl="7" w:tplc="E2E2B056" w:tentative="1">
      <w:start w:val="1"/>
      <w:numFmt w:val="bullet"/>
      <w:lvlText w:val="o"/>
      <w:lvlJc w:val="left"/>
      <w:pPr>
        <w:ind w:left="5760" w:hanging="360"/>
      </w:pPr>
      <w:rPr>
        <w:rFonts w:ascii="Courier New" w:hAnsi="Courier New" w:cs="Courier New" w:hint="default"/>
      </w:rPr>
    </w:lvl>
    <w:lvl w:ilvl="8" w:tplc="81DA313C" w:tentative="1">
      <w:start w:val="1"/>
      <w:numFmt w:val="bullet"/>
      <w:lvlText w:val=""/>
      <w:lvlJc w:val="left"/>
      <w:pPr>
        <w:ind w:left="6480" w:hanging="360"/>
      </w:pPr>
      <w:rPr>
        <w:rFonts w:ascii="Wingdings" w:hAnsi="Wingdings" w:hint="default"/>
      </w:rPr>
    </w:lvl>
  </w:abstractNum>
  <w:abstractNum w:abstractNumId="14" w15:restartNumberingAfterBreak="0">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15:restartNumberingAfterBreak="0">
    <w:nsid w:val="395702BE"/>
    <w:multiLevelType w:val="hybridMultilevel"/>
    <w:tmpl w:val="D91CCB04"/>
    <w:lvl w:ilvl="0" w:tplc="754AF1FC">
      <w:start w:val="1"/>
      <w:numFmt w:val="bullet"/>
      <w:lvlText w:val=""/>
      <w:lvlJc w:val="left"/>
      <w:pPr>
        <w:ind w:left="720" w:hanging="360"/>
      </w:pPr>
      <w:rPr>
        <w:rFonts w:ascii="Symbol" w:hAnsi="Symbol" w:hint="default"/>
      </w:rPr>
    </w:lvl>
    <w:lvl w:ilvl="1" w:tplc="0BC03C9C" w:tentative="1">
      <w:start w:val="1"/>
      <w:numFmt w:val="bullet"/>
      <w:lvlText w:val="o"/>
      <w:lvlJc w:val="left"/>
      <w:pPr>
        <w:ind w:left="1440" w:hanging="360"/>
      </w:pPr>
      <w:rPr>
        <w:rFonts w:ascii="Courier New" w:hAnsi="Courier New" w:cs="Courier New" w:hint="default"/>
      </w:rPr>
    </w:lvl>
    <w:lvl w:ilvl="2" w:tplc="B748DBDA" w:tentative="1">
      <w:start w:val="1"/>
      <w:numFmt w:val="bullet"/>
      <w:lvlText w:val=""/>
      <w:lvlJc w:val="left"/>
      <w:pPr>
        <w:ind w:left="2160" w:hanging="360"/>
      </w:pPr>
      <w:rPr>
        <w:rFonts w:ascii="Wingdings" w:hAnsi="Wingdings" w:hint="default"/>
      </w:rPr>
    </w:lvl>
    <w:lvl w:ilvl="3" w:tplc="CE286E00" w:tentative="1">
      <w:start w:val="1"/>
      <w:numFmt w:val="bullet"/>
      <w:lvlText w:val=""/>
      <w:lvlJc w:val="left"/>
      <w:pPr>
        <w:ind w:left="2880" w:hanging="360"/>
      </w:pPr>
      <w:rPr>
        <w:rFonts w:ascii="Symbol" w:hAnsi="Symbol" w:hint="default"/>
      </w:rPr>
    </w:lvl>
    <w:lvl w:ilvl="4" w:tplc="70CA5C10" w:tentative="1">
      <w:start w:val="1"/>
      <w:numFmt w:val="bullet"/>
      <w:lvlText w:val="o"/>
      <w:lvlJc w:val="left"/>
      <w:pPr>
        <w:ind w:left="3600" w:hanging="360"/>
      </w:pPr>
      <w:rPr>
        <w:rFonts w:ascii="Courier New" w:hAnsi="Courier New" w:cs="Courier New" w:hint="default"/>
      </w:rPr>
    </w:lvl>
    <w:lvl w:ilvl="5" w:tplc="3D2C17C2" w:tentative="1">
      <w:start w:val="1"/>
      <w:numFmt w:val="bullet"/>
      <w:lvlText w:val=""/>
      <w:lvlJc w:val="left"/>
      <w:pPr>
        <w:ind w:left="4320" w:hanging="360"/>
      </w:pPr>
      <w:rPr>
        <w:rFonts w:ascii="Wingdings" w:hAnsi="Wingdings" w:hint="default"/>
      </w:rPr>
    </w:lvl>
    <w:lvl w:ilvl="6" w:tplc="D4E282EE" w:tentative="1">
      <w:start w:val="1"/>
      <w:numFmt w:val="bullet"/>
      <w:lvlText w:val=""/>
      <w:lvlJc w:val="left"/>
      <w:pPr>
        <w:ind w:left="5040" w:hanging="360"/>
      </w:pPr>
      <w:rPr>
        <w:rFonts w:ascii="Symbol" w:hAnsi="Symbol" w:hint="default"/>
      </w:rPr>
    </w:lvl>
    <w:lvl w:ilvl="7" w:tplc="6D74651C" w:tentative="1">
      <w:start w:val="1"/>
      <w:numFmt w:val="bullet"/>
      <w:lvlText w:val="o"/>
      <w:lvlJc w:val="left"/>
      <w:pPr>
        <w:ind w:left="5760" w:hanging="360"/>
      </w:pPr>
      <w:rPr>
        <w:rFonts w:ascii="Courier New" w:hAnsi="Courier New" w:cs="Courier New" w:hint="default"/>
      </w:rPr>
    </w:lvl>
    <w:lvl w:ilvl="8" w:tplc="66D094EA" w:tentative="1">
      <w:start w:val="1"/>
      <w:numFmt w:val="bullet"/>
      <w:lvlText w:val=""/>
      <w:lvlJc w:val="left"/>
      <w:pPr>
        <w:ind w:left="6480" w:hanging="360"/>
      </w:pPr>
      <w:rPr>
        <w:rFonts w:ascii="Wingdings" w:hAnsi="Wingdings" w:hint="default"/>
      </w:rPr>
    </w:lvl>
  </w:abstractNum>
  <w:abstractNum w:abstractNumId="16" w15:restartNumberingAfterBreak="0">
    <w:nsid w:val="3960527E"/>
    <w:multiLevelType w:val="hybridMultilevel"/>
    <w:tmpl w:val="97505B86"/>
    <w:lvl w:ilvl="0" w:tplc="5ADAD76C">
      <w:start w:val="1"/>
      <w:numFmt w:val="bullet"/>
      <w:pStyle w:val="ESBulletsinTable"/>
      <w:lvlText w:val=""/>
      <w:lvlJc w:val="left"/>
      <w:pPr>
        <w:ind w:left="360" w:hanging="360"/>
      </w:pPr>
      <w:rPr>
        <w:rFonts w:ascii="Symbol" w:hAnsi="Symbol" w:hint="default"/>
        <w:color w:val="AF272F"/>
      </w:rPr>
    </w:lvl>
    <w:lvl w:ilvl="1" w:tplc="CDFA6DD0">
      <w:start w:val="1"/>
      <w:numFmt w:val="bullet"/>
      <w:pStyle w:val="ESBulletsinTableLevel2"/>
      <w:lvlText w:val="o"/>
      <w:lvlJc w:val="left"/>
      <w:pPr>
        <w:ind w:left="1440" w:hanging="360"/>
      </w:pPr>
      <w:rPr>
        <w:rFonts w:ascii="Courier New" w:hAnsi="Courier New" w:cs="Courier New" w:hint="default"/>
      </w:rPr>
    </w:lvl>
    <w:lvl w:ilvl="2" w:tplc="1B96BA26" w:tentative="1">
      <w:start w:val="1"/>
      <w:numFmt w:val="bullet"/>
      <w:lvlText w:val=""/>
      <w:lvlJc w:val="left"/>
      <w:pPr>
        <w:ind w:left="2160" w:hanging="360"/>
      </w:pPr>
      <w:rPr>
        <w:rFonts w:ascii="Wingdings" w:hAnsi="Wingdings" w:hint="default"/>
      </w:rPr>
    </w:lvl>
    <w:lvl w:ilvl="3" w:tplc="CC78CDDA" w:tentative="1">
      <w:start w:val="1"/>
      <w:numFmt w:val="bullet"/>
      <w:lvlText w:val=""/>
      <w:lvlJc w:val="left"/>
      <w:pPr>
        <w:ind w:left="2880" w:hanging="360"/>
      </w:pPr>
      <w:rPr>
        <w:rFonts w:ascii="Symbol" w:hAnsi="Symbol" w:hint="default"/>
      </w:rPr>
    </w:lvl>
    <w:lvl w:ilvl="4" w:tplc="BCFA525A" w:tentative="1">
      <w:start w:val="1"/>
      <w:numFmt w:val="bullet"/>
      <w:lvlText w:val="o"/>
      <w:lvlJc w:val="left"/>
      <w:pPr>
        <w:ind w:left="3600" w:hanging="360"/>
      </w:pPr>
      <w:rPr>
        <w:rFonts w:ascii="Courier New" w:hAnsi="Courier New" w:cs="Courier New" w:hint="default"/>
      </w:rPr>
    </w:lvl>
    <w:lvl w:ilvl="5" w:tplc="D7427702" w:tentative="1">
      <w:start w:val="1"/>
      <w:numFmt w:val="bullet"/>
      <w:lvlText w:val=""/>
      <w:lvlJc w:val="left"/>
      <w:pPr>
        <w:ind w:left="4320" w:hanging="360"/>
      </w:pPr>
      <w:rPr>
        <w:rFonts w:ascii="Wingdings" w:hAnsi="Wingdings" w:hint="default"/>
      </w:rPr>
    </w:lvl>
    <w:lvl w:ilvl="6" w:tplc="1A44F45C" w:tentative="1">
      <w:start w:val="1"/>
      <w:numFmt w:val="bullet"/>
      <w:lvlText w:val=""/>
      <w:lvlJc w:val="left"/>
      <w:pPr>
        <w:ind w:left="5040" w:hanging="360"/>
      </w:pPr>
      <w:rPr>
        <w:rFonts w:ascii="Symbol" w:hAnsi="Symbol" w:hint="default"/>
      </w:rPr>
    </w:lvl>
    <w:lvl w:ilvl="7" w:tplc="F17CE9CA" w:tentative="1">
      <w:start w:val="1"/>
      <w:numFmt w:val="bullet"/>
      <w:lvlText w:val="o"/>
      <w:lvlJc w:val="left"/>
      <w:pPr>
        <w:ind w:left="5760" w:hanging="360"/>
      </w:pPr>
      <w:rPr>
        <w:rFonts w:ascii="Courier New" w:hAnsi="Courier New" w:cs="Courier New" w:hint="default"/>
      </w:rPr>
    </w:lvl>
    <w:lvl w:ilvl="8" w:tplc="8A50C686" w:tentative="1">
      <w:start w:val="1"/>
      <w:numFmt w:val="bullet"/>
      <w:lvlText w:val=""/>
      <w:lvlJc w:val="left"/>
      <w:pPr>
        <w:ind w:left="6480" w:hanging="360"/>
      </w:pPr>
      <w:rPr>
        <w:rFonts w:ascii="Wingdings" w:hAnsi="Wingdings" w:hint="default"/>
      </w:rPr>
    </w:lvl>
  </w:abstractNum>
  <w:abstractNum w:abstractNumId="17" w15:restartNumberingAfterBreak="0">
    <w:nsid w:val="41F64396"/>
    <w:multiLevelType w:val="hybridMultilevel"/>
    <w:tmpl w:val="3E6E882E"/>
    <w:lvl w:ilvl="0" w:tplc="68CE1CAA">
      <w:start w:val="1"/>
      <w:numFmt w:val="bullet"/>
      <w:lvlText w:val=""/>
      <w:lvlJc w:val="left"/>
      <w:pPr>
        <w:ind w:left="720" w:hanging="360"/>
      </w:pPr>
      <w:rPr>
        <w:rFonts w:ascii="Symbol" w:hAnsi="Symbol" w:hint="default"/>
      </w:rPr>
    </w:lvl>
    <w:lvl w:ilvl="1" w:tplc="F684E79E" w:tentative="1">
      <w:start w:val="1"/>
      <w:numFmt w:val="bullet"/>
      <w:lvlText w:val="o"/>
      <w:lvlJc w:val="left"/>
      <w:pPr>
        <w:ind w:left="1440" w:hanging="360"/>
      </w:pPr>
      <w:rPr>
        <w:rFonts w:ascii="Courier New" w:hAnsi="Courier New" w:cs="Courier New" w:hint="default"/>
      </w:rPr>
    </w:lvl>
    <w:lvl w:ilvl="2" w:tplc="54EC5D90" w:tentative="1">
      <w:start w:val="1"/>
      <w:numFmt w:val="bullet"/>
      <w:lvlText w:val=""/>
      <w:lvlJc w:val="left"/>
      <w:pPr>
        <w:ind w:left="2160" w:hanging="360"/>
      </w:pPr>
      <w:rPr>
        <w:rFonts w:ascii="Wingdings" w:hAnsi="Wingdings" w:hint="default"/>
      </w:rPr>
    </w:lvl>
    <w:lvl w:ilvl="3" w:tplc="BF12C81C" w:tentative="1">
      <w:start w:val="1"/>
      <w:numFmt w:val="bullet"/>
      <w:lvlText w:val=""/>
      <w:lvlJc w:val="left"/>
      <w:pPr>
        <w:ind w:left="2880" w:hanging="360"/>
      </w:pPr>
      <w:rPr>
        <w:rFonts w:ascii="Symbol" w:hAnsi="Symbol" w:hint="default"/>
      </w:rPr>
    </w:lvl>
    <w:lvl w:ilvl="4" w:tplc="62D26ACC" w:tentative="1">
      <w:start w:val="1"/>
      <w:numFmt w:val="bullet"/>
      <w:lvlText w:val="o"/>
      <w:lvlJc w:val="left"/>
      <w:pPr>
        <w:ind w:left="3600" w:hanging="360"/>
      </w:pPr>
      <w:rPr>
        <w:rFonts w:ascii="Courier New" w:hAnsi="Courier New" w:cs="Courier New" w:hint="default"/>
      </w:rPr>
    </w:lvl>
    <w:lvl w:ilvl="5" w:tplc="8B360F40" w:tentative="1">
      <w:start w:val="1"/>
      <w:numFmt w:val="bullet"/>
      <w:lvlText w:val=""/>
      <w:lvlJc w:val="left"/>
      <w:pPr>
        <w:ind w:left="4320" w:hanging="360"/>
      </w:pPr>
      <w:rPr>
        <w:rFonts w:ascii="Wingdings" w:hAnsi="Wingdings" w:hint="default"/>
      </w:rPr>
    </w:lvl>
    <w:lvl w:ilvl="6" w:tplc="63A6598E" w:tentative="1">
      <w:start w:val="1"/>
      <w:numFmt w:val="bullet"/>
      <w:lvlText w:val=""/>
      <w:lvlJc w:val="left"/>
      <w:pPr>
        <w:ind w:left="5040" w:hanging="360"/>
      </w:pPr>
      <w:rPr>
        <w:rFonts w:ascii="Symbol" w:hAnsi="Symbol" w:hint="default"/>
      </w:rPr>
    </w:lvl>
    <w:lvl w:ilvl="7" w:tplc="30E407F6" w:tentative="1">
      <w:start w:val="1"/>
      <w:numFmt w:val="bullet"/>
      <w:lvlText w:val="o"/>
      <w:lvlJc w:val="left"/>
      <w:pPr>
        <w:ind w:left="5760" w:hanging="360"/>
      </w:pPr>
      <w:rPr>
        <w:rFonts w:ascii="Courier New" w:hAnsi="Courier New" w:cs="Courier New" w:hint="default"/>
      </w:rPr>
    </w:lvl>
    <w:lvl w:ilvl="8" w:tplc="C0DC4868" w:tentative="1">
      <w:start w:val="1"/>
      <w:numFmt w:val="bullet"/>
      <w:lvlText w:val=""/>
      <w:lvlJc w:val="left"/>
      <w:pPr>
        <w:ind w:left="6480" w:hanging="360"/>
      </w:pPr>
      <w:rPr>
        <w:rFonts w:ascii="Wingdings" w:hAnsi="Wingdings" w:hint="default"/>
      </w:rPr>
    </w:lvl>
  </w:abstractNum>
  <w:abstractNum w:abstractNumId="18" w15:restartNumberingAfterBreak="0">
    <w:nsid w:val="425F02CC"/>
    <w:multiLevelType w:val="hybridMultilevel"/>
    <w:tmpl w:val="E5208B52"/>
    <w:lvl w:ilvl="0" w:tplc="59A8D52E">
      <w:start w:val="1"/>
      <w:numFmt w:val="bullet"/>
      <w:lvlText w:val=""/>
      <w:lvlJc w:val="left"/>
      <w:pPr>
        <w:ind w:left="180" w:hanging="360"/>
      </w:pPr>
      <w:rPr>
        <w:rFonts w:ascii="Symbol" w:hAnsi="Symbol" w:hint="default"/>
      </w:rPr>
    </w:lvl>
    <w:lvl w:ilvl="1" w:tplc="D95EA816" w:tentative="1">
      <w:start w:val="1"/>
      <w:numFmt w:val="bullet"/>
      <w:lvlText w:val="o"/>
      <w:lvlJc w:val="left"/>
      <w:pPr>
        <w:ind w:left="900" w:hanging="360"/>
      </w:pPr>
      <w:rPr>
        <w:rFonts w:ascii="Courier New" w:hAnsi="Courier New" w:cs="Courier New" w:hint="default"/>
      </w:rPr>
    </w:lvl>
    <w:lvl w:ilvl="2" w:tplc="CFF4606A" w:tentative="1">
      <w:start w:val="1"/>
      <w:numFmt w:val="bullet"/>
      <w:lvlText w:val=""/>
      <w:lvlJc w:val="left"/>
      <w:pPr>
        <w:ind w:left="1620" w:hanging="360"/>
      </w:pPr>
      <w:rPr>
        <w:rFonts w:ascii="Wingdings" w:hAnsi="Wingdings" w:hint="default"/>
      </w:rPr>
    </w:lvl>
    <w:lvl w:ilvl="3" w:tplc="54E67542" w:tentative="1">
      <w:start w:val="1"/>
      <w:numFmt w:val="bullet"/>
      <w:lvlText w:val=""/>
      <w:lvlJc w:val="left"/>
      <w:pPr>
        <w:ind w:left="2340" w:hanging="360"/>
      </w:pPr>
      <w:rPr>
        <w:rFonts w:ascii="Symbol" w:hAnsi="Symbol" w:hint="default"/>
      </w:rPr>
    </w:lvl>
    <w:lvl w:ilvl="4" w:tplc="0734A08C" w:tentative="1">
      <w:start w:val="1"/>
      <w:numFmt w:val="bullet"/>
      <w:lvlText w:val="o"/>
      <w:lvlJc w:val="left"/>
      <w:pPr>
        <w:ind w:left="3060" w:hanging="360"/>
      </w:pPr>
      <w:rPr>
        <w:rFonts w:ascii="Courier New" w:hAnsi="Courier New" w:cs="Courier New" w:hint="default"/>
      </w:rPr>
    </w:lvl>
    <w:lvl w:ilvl="5" w:tplc="CDA26FE4" w:tentative="1">
      <w:start w:val="1"/>
      <w:numFmt w:val="bullet"/>
      <w:lvlText w:val=""/>
      <w:lvlJc w:val="left"/>
      <w:pPr>
        <w:ind w:left="3780" w:hanging="360"/>
      </w:pPr>
      <w:rPr>
        <w:rFonts w:ascii="Wingdings" w:hAnsi="Wingdings" w:hint="default"/>
      </w:rPr>
    </w:lvl>
    <w:lvl w:ilvl="6" w:tplc="2222C8F6" w:tentative="1">
      <w:start w:val="1"/>
      <w:numFmt w:val="bullet"/>
      <w:lvlText w:val=""/>
      <w:lvlJc w:val="left"/>
      <w:pPr>
        <w:ind w:left="4500" w:hanging="360"/>
      </w:pPr>
      <w:rPr>
        <w:rFonts w:ascii="Symbol" w:hAnsi="Symbol" w:hint="default"/>
      </w:rPr>
    </w:lvl>
    <w:lvl w:ilvl="7" w:tplc="4112DB3E" w:tentative="1">
      <w:start w:val="1"/>
      <w:numFmt w:val="bullet"/>
      <w:lvlText w:val="o"/>
      <w:lvlJc w:val="left"/>
      <w:pPr>
        <w:ind w:left="5220" w:hanging="360"/>
      </w:pPr>
      <w:rPr>
        <w:rFonts w:ascii="Courier New" w:hAnsi="Courier New" w:cs="Courier New" w:hint="default"/>
      </w:rPr>
    </w:lvl>
    <w:lvl w:ilvl="8" w:tplc="57D60034" w:tentative="1">
      <w:start w:val="1"/>
      <w:numFmt w:val="bullet"/>
      <w:lvlText w:val=""/>
      <w:lvlJc w:val="left"/>
      <w:pPr>
        <w:ind w:left="5940" w:hanging="360"/>
      </w:pPr>
      <w:rPr>
        <w:rFonts w:ascii="Wingdings" w:hAnsi="Wingdings" w:hint="default"/>
      </w:rPr>
    </w:lvl>
  </w:abstractNum>
  <w:abstractNum w:abstractNumId="19" w15:restartNumberingAfterBreak="0">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0" w15:restartNumberingAfterBreak="0">
    <w:nsid w:val="62E2458A"/>
    <w:multiLevelType w:val="hybridMultilevel"/>
    <w:tmpl w:val="0F5A6546"/>
    <w:lvl w:ilvl="0" w:tplc="46AEF328">
      <w:start w:val="1"/>
      <w:numFmt w:val="bullet"/>
      <w:lvlText w:val=""/>
      <w:lvlJc w:val="left"/>
      <w:pPr>
        <w:ind w:left="720" w:hanging="360"/>
      </w:pPr>
      <w:rPr>
        <w:rFonts w:ascii="Symbol" w:hAnsi="Symbol" w:hint="default"/>
      </w:rPr>
    </w:lvl>
    <w:lvl w:ilvl="1" w:tplc="E6CA5C32" w:tentative="1">
      <w:start w:val="1"/>
      <w:numFmt w:val="bullet"/>
      <w:lvlText w:val="o"/>
      <w:lvlJc w:val="left"/>
      <w:pPr>
        <w:ind w:left="1440" w:hanging="360"/>
      </w:pPr>
      <w:rPr>
        <w:rFonts w:ascii="Courier New" w:hAnsi="Courier New" w:cs="Courier New" w:hint="default"/>
      </w:rPr>
    </w:lvl>
    <w:lvl w:ilvl="2" w:tplc="504AA396" w:tentative="1">
      <w:start w:val="1"/>
      <w:numFmt w:val="bullet"/>
      <w:lvlText w:val=""/>
      <w:lvlJc w:val="left"/>
      <w:pPr>
        <w:ind w:left="2160" w:hanging="360"/>
      </w:pPr>
      <w:rPr>
        <w:rFonts w:ascii="Wingdings" w:hAnsi="Wingdings" w:hint="default"/>
      </w:rPr>
    </w:lvl>
    <w:lvl w:ilvl="3" w:tplc="4DBA64A4" w:tentative="1">
      <w:start w:val="1"/>
      <w:numFmt w:val="bullet"/>
      <w:lvlText w:val=""/>
      <w:lvlJc w:val="left"/>
      <w:pPr>
        <w:ind w:left="2880" w:hanging="360"/>
      </w:pPr>
      <w:rPr>
        <w:rFonts w:ascii="Symbol" w:hAnsi="Symbol" w:hint="default"/>
      </w:rPr>
    </w:lvl>
    <w:lvl w:ilvl="4" w:tplc="43706BBA" w:tentative="1">
      <w:start w:val="1"/>
      <w:numFmt w:val="bullet"/>
      <w:lvlText w:val="o"/>
      <w:lvlJc w:val="left"/>
      <w:pPr>
        <w:ind w:left="3600" w:hanging="360"/>
      </w:pPr>
      <w:rPr>
        <w:rFonts w:ascii="Courier New" w:hAnsi="Courier New" w:cs="Courier New" w:hint="default"/>
      </w:rPr>
    </w:lvl>
    <w:lvl w:ilvl="5" w:tplc="387C5284" w:tentative="1">
      <w:start w:val="1"/>
      <w:numFmt w:val="bullet"/>
      <w:lvlText w:val=""/>
      <w:lvlJc w:val="left"/>
      <w:pPr>
        <w:ind w:left="4320" w:hanging="360"/>
      </w:pPr>
      <w:rPr>
        <w:rFonts w:ascii="Wingdings" w:hAnsi="Wingdings" w:hint="default"/>
      </w:rPr>
    </w:lvl>
    <w:lvl w:ilvl="6" w:tplc="20E2F008" w:tentative="1">
      <w:start w:val="1"/>
      <w:numFmt w:val="bullet"/>
      <w:lvlText w:val=""/>
      <w:lvlJc w:val="left"/>
      <w:pPr>
        <w:ind w:left="5040" w:hanging="360"/>
      </w:pPr>
      <w:rPr>
        <w:rFonts w:ascii="Symbol" w:hAnsi="Symbol" w:hint="default"/>
      </w:rPr>
    </w:lvl>
    <w:lvl w:ilvl="7" w:tplc="1B70FE3C" w:tentative="1">
      <w:start w:val="1"/>
      <w:numFmt w:val="bullet"/>
      <w:lvlText w:val="o"/>
      <w:lvlJc w:val="left"/>
      <w:pPr>
        <w:ind w:left="5760" w:hanging="360"/>
      </w:pPr>
      <w:rPr>
        <w:rFonts w:ascii="Courier New" w:hAnsi="Courier New" w:cs="Courier New" w:hint="default"/>
      </w:rPr>
    </w:lvl>
    <w:lvl w:ilvl="8" w:tplc="0290C8CE" w:tentative="1">
      <w:start w:val="1"/>
      <w:numFmt w:val="bullet"/>
      <w:lvlText w:val=""/>
      <w:lvlJc w:val="left"/>
      <w:pPr>
        <w:ind w:left="6480" w:hanging="360"/>
      </w:pPr>
      <w:rPr>
        <w:rFonts w:ascii="Wingdings" w:hAnsi="Wingdings" w:hint="default"/>
      </w:rPr>
    </w:lvl>
  </w:abstractNum>
  <w:abstractNum w:abstractNumId="21" w15:restartNumberingAfterBreak="0">
    <w:nsid w:val="63AE4D02"/>
    <w:multiLevelType w:val="hybridMultilevel"/>
    <w:tmpl w:val="209C8AF0"/>
    <w:lvl w:ilvl="0" w:tplc="4F96C112">
      <w:start w:val="1"/>
      <w:numFmt w:val="bullet"/>
      <w:lvlText w:val=""/>
      <w:lvlJc w:val="left"/>
      <w:pPr>
        <w:ind w:left="180" w:hanging="360"/>
      </w:pPr>
      <w:rPr>
        <w:rFonts w:ascii="Symbol" w:hAnsi="Symbol" w:hint="default"/>
      </w:rPr>
    </w:lvl>
    <w:lvl w:ilvl="1" w:tplc="784441F4" w:tentative="1">
      <w:start w:val="1"/>
      <w:numFmt w:val="bullet"/>
      <w:lvlText w:val="o"/>
      <w:lvlJc w:val="left"/>
      <w:pPr>
        <w:ind w:left="900" w:hanging="360"/>
      </w:pPr>
      <w:rPr>
        <w:rFonts w:ascii="Courier New" w:hAnsi="Courier New" w:cs="Courier New" w:hint="default"/>
      </w:rPr>
    </w:lvl>
    <w:lvl w:ilvl="2" w:tplc="A10853A8" w:tentative="1">
      <w:start w:val="1"/>
      <w:numFmt w:val="bullet"/>
      <w:lvlText w:val=""/>
      <w:lvlJc w:val="left"/>
      <w:pPr>
        <w:ind w:left="1620" w:hanging="360"/>
      </w:pPr>
      <w:rPr>
        <w:rFonts w:ascii="Wingdings" w:hAnsi="Wingdings" w:hint="default"/>
      </w:rPr>
    </w:lvl>
    <w:lvl w:ilvl="3" w:tplc="D400ABC8" w:tentative="1">
      <w:start w:val="1"/>
      <w:numFmt w:val="bullet"/>
      <w:lvlText w:val=""/>
      <w:lvlJc w:val="left"/>
      <w:pPr>
        <w:ind w:left="2340" w:hanging="360"/>
      </w:pPr>
      <w:rPr>
        <w:rFonts w:ascii="Symbol" w:hAnsi="Symbol" w:hint="default"/>
      </w:rPr>
    </w:lvl>
    <w:lvl w:ilvl="4" w:tplc="88D012A8" w:tentative="1">
      <w:start w:val="1"/>
      <w:numFmt w:val="bullet"/>
      <w:lvlText w:val="o"/>
      <w:lvlJc w:val="left"/>
      <w:pPr>
        <w:ind w:left="3060" w:hanging="360"/>
      </w:pPr>
      <w:rPr>
        <w:rFonts w:ascii="Courier New" w:hAnsi="Courier New" w:cs="Courier New" w:hint="default"/>
      </w:rPr>
    </w:lvl>
    <w:lvl w:ilvl="5" w:tplc="33E2BB94" w:tentative="1">
      <w:start w:val="1"/>
      <w:numFmt w:val="bullet"/>
      <w:lvlText w:val=""/>
      <w:lvlJc w:val="left"/>
      <w:pPr>
        <w:ind w:left="3780" w:hanging="360"/>
      </w:pPr>
      <w:rPr>
        <w:rFonts w:ascii="Wingdings" w:hAnsi="Wingdings" w:hint="default"/>
      </w:rPr>
    </w:lvl>
    <w:lvl w:ilvl="6" w:tplc="8E025C8E" w:tentative="1">
      <w:start w:val="1"/>
      <w:numFmt w:val="bullet"/>
      <w:lvlText w:val=""/>
      <w:lvlJc w:val="left"/>
      <w:pPr>
        <w:ind w:left="4500" w:hanging="360"/>
      </w:pPr>
      <w:rPr>
        <w:rFonts w:ascii="Symbol" w:hAnsi="Symbol" w:hint="default"/>
      </w:rPr>
    </w:lvl>
    <w:lvl w:ilvl="7" w:tplc="143E07EA" w:tentative="1">
      <w:start w:val="1"/>
      <w:numFmt w:val="bullet"/>
      <w:lvlText w:val="o"/>
      <w:lvlJc w:val="left"/>
      <w:pPr>
        <w:ind w:left="5220" w:hanging="360"/>
      </w:pPr>
      <w:rPr>
        <w:rFonts w:ascii="Courier New" w:hAnsi="Courier New" w:cs="Courier New" w:hint="default"/>
      </w:rPr>
    </w:lvl>
    <w:lvl w:ilvl="8" w:tplc="0058756C" w:tentative="1">
      <w:start w:val="1"/>
      <w:numFmt w:val="bullet"/>
      <w:lvlText w:val=""/>
      <w:lvlJc w:val="left"/>
      <w:pPr>
        <w:ind w:left="5940" w:hanging="360"/>
      </w:pPr>
      <w:rPr>
        <w:rFonts w:ascii="Wingdings" w:hAnsi="Wingdings" w:hint="default"/>
      </w:rPr>
    </w:lvl>
  </w:abstractNum>
  <w:abstractNum w:abstractNumId="22" w15:restartNumberingAfterBreak="0">
    <w:nsid w:val="6FD9220F"/>
    <w:multiLevelType w:val="hybridMultilevel"/>
    <w:tmpl w:val="82AA4ECA"/>
    <w:lvl w:ilvl="0" w:tplc="7D0CDADC">
      <w:start w:val="1"/>
      <w:numFmt w:val="bullet"/>
      <w:lvlText w:val=""/>
      <w:lvlJc w:val="left"/>
      <w:pPr>
        <w:ind w:left="720" w:hanging="360"/>
      </w:pPr>
      <w:rPr>
        <w:rFonts w:ascii="Symbol" w:hAnsi="Symbol" w:hint="default"/>
      </w:rPr>
    </w:lvl>
    <w:lvl w:ilvl="1" w:tplc="AFDCF89C" w:tentative="1">
      <w:start w:val="1"/>
      <w:numFmt w:val="bullet"/>
      <w:lvlText w:val="o"/>
      <w:lvlJc w:val="left"/>
      <w:pPr>
        <w:ind w:left="1440" w:hanging="360"/>
      </w:pPr>
      <w:rPr>
        <w:rFonts w:ascii="Courier New" w:hAnsi="Courier New" w:cs="Courier New" w:hint="default"/>
      </w:rPr>
    </w:lvl>
    <w:lvl w:ilvl="2" w:tplc="1B722ABE" w:tentative="1">
      <w:start w:val="1"/>
      <w:numFmt w:val="bullet"/>
      <w:lvlText w:val=""/>
      <w:lvlJc w:val="left"/>
      <w:pPr>
        <w:ind w:left="2160" w:hanging="360"/>
      </w:pPr>
      <w:rPr>
        <w:rFonts w:ascii="Wingdings" w:hAnsi="Wingdings" w:hint="default"/>
      </w:rPr>
    </w:lvl>
    <w:lvl w:ilvl="3" w:tplc="2CDAFA36" w:tentative="1">
      <w:start w:val="1"/>
      <w:numFmt w:val="bullet"/>
      <w:lvlText w:val=""/>
      <w:lvlJc w:val="left"/>
      <w:pPr>
        <w:ind w:left="2880" w:hanging="360"/>
      </w:pPr>
      <w:rPr>
        <w:rFonts w:ascii="Symbol" w:hAnsi="Symbol" w:hint="default"/>
      </w:rPr>
    </w:lvl>
    <w:lvl w:ilvl="4" w:tplc="8786ABA0" w:tentative="1">
      <w:start w:val="1"/>
      <w:numFmt w:val="bullet"/>
      <w:lvlText w:val="o"/>
      <w:lvlJc w:val="left"/>
      <w:pPr>
        <w:ind w:left="3600" w:hanging="360"/>
      </w:pPr>
      <w:rPr>
        <w:rFonts w:ascii="Courier New" w:hAnsi="Courier New" w:cs="Courier New" w:hint="default"/>
      </w:rPr>
    </w:lvl>
    <w:lvl w:ilvl="5" w:tplc="894C8A6E" w:tentative="1">
      <w:start w:val="1"/>
      <w:numFmt w:val="bullet"/>
      <w:lvlText w:val=""/>
      <w:lvlJc w:val="left"/>
      <w:pPr>
        <w:ind w:left="4320" w:hanging="360"/>
      </w:pPr>
      <w:rPr>
        <w:rFonts w:ascii="Wingdings" w:hAnsi="Wingdings" w:hint="default"/>
      </w:rPr>
    </w:lvl>
    <w:lvl w:ilvl="6" w:tplc="41DAB5C8" w:tentative="1">
      <w:start w:val="1"/>
      <w:numFmt w:val="bullet"/>
      <w:lvlText w:val=""/>
      <w:lvlJc w:val="left"/>
      <w:pPr>
        <w:ind w:left="5040" w:hanging="360"/>
      </w:pPr>
      <w:rPr>
        <w:rFonts w:ascii="Symbol" w:hAnsi="Symbol" w:hint="default"/>
      </w:rPr>
    </w:lvl>
    <w:lvl w:ilvl="7" w:tplc="2F3CA05A" w:tentative="1">
      <w:start w:val="1"/>
      <w:numFmt w:val="bullet"/>
      <w:lvlText w:val="o"/>
      <w:lvlJc w:val="left"/>
      <w:pPr>
        <w:ind w:left="5760" w:hanging="360"/>
      </w:pPr>
      <w:rPr>
        <w:rFonts w:ascii="Courier New" w:hAnsi="Courier New" w:cs="Courier New" w:hint="default"/>
      </w:rPr>
    </w:lvl>
    <w:lvl w:ilvl="8" w:tplc="46E8BD1C" w:tentative="1">
      <w:start w:val="1"/>
      <w:numFmt w:val="bullet"/>
      <w:lvlText w:val=""/>
      <w:lvlJc w:val="left"/>
      <w:pPr>
        <w:ind w:left="6480" w:hanging="360"/>
      </w:pPr>
      <w:rPr>
        <w:rFonts w:ascii="Wingdings" w:hAnsi="Wingdings" w:hint="default"/>
      </w:rPr>
    </w:lvl>
  </w:abstractNum>
  <w:abstractNum w:abstractNumId="23" w15:restartNumberingAfterBreak="0">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4" w15:restartNumberingAfterBreak="0">
    <w:nsid w:val="7CFC19AF"/>
    <w:multiLevelType w:val="multilevel"/>
    <w:tmpl w:val="0A94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FCB6DE1"/>
    <w:multiLevelType w:val="hybridMultilevel"/>
    <w:tmpl w:val="78CCCB6C"/>
    <w:lvl w:ilvl="0" w:tplc="BE382076">
      <w:numFmt w:val="bullet"/>
      <w:lvlText w:val="•"/>
      <w:lvlJc w:val="left"/>
      <w:pPr>
        <w:ind w:left="1080" w:hanging="720"/>
      </w:pPr>
      <w:rPr>
        <w:rFonts w:ascii="Arial" w:eastAsiaTheme="minorEastAsia" w:hAnsi="Arial" w:cs="Arial" w:hint="default"/>
      </w:rPr>
    </w:lvl>
    <w:lvl w:ilvl="1" w:tplc="DB447CFE" w:tentative="1">
      <w:start w:val="1"/>
      <w:numFmt w:val="bullet"/>
      <w:lvlText w:val="o"/>
      <w:lvlJc w:val="left"/>
      <w:pPr>
        <w:ind w:left="1440" w:hanging="360"/>
      </w:pPr>
      <w:rPr>
        <w:rFonts w:ascii="Courier New" w:hAnsi="Courier New" w:cs="Courier New" w:hint="default"/>
      </w:rPr>
    </w:lvl>
    <w:lvl w:ilvl="2" w:tplc="A6F21B76" w:tentative="1">
      <w:start w:val="1"/>
      <w:numFmt w:val="bullet"/>
      <w:lvlText w:val=""/>
      <w:lvlJc w:val="left"/>
      <w:pPr>
        <w:ind w:left="2160" w:hanging="360"/>
      </w:pPr>
      <w:rPr>
        <w:rFonts w:ascii="Wingdings" w:hAnsi="Wingdings" w:hint="default"/>
      </w:rPr>
    </w:lvl>
    <w:lvl w:ilvl="3" w:tplc="CDC49880" w:tentative="1">
      <w:start w:val="1"/>
      <w:numFmt w:val="bullet"/>
      <w:lvlText w:val=""/>
      <w:lvlJc w:val="left"/>
      <w:pPr>
        <w:ind w:left="2880" w:hanging="360"/>
      </w:pPr>
      <w:rPr>
        <w:rFonts w:ascii="Symbol" w:hAnsi="Symbol" w:hint="default"/>
      </w:rPr>
    </w:lvl>
    <w:lvl w:ilvl="4" w:tplc="1104352A" w:tentative="1">
      <w:start w:val="1"/>
      <w:numFmt w:val="bullet"/>
      <w:lvlText w:val="o"/>
      <w:lvlJc w:val="left"/>
      <w:pPr>
        <w:ind w:left="3600" w:hanging="360"/>
      </w:pPr>
      <w:rPr>
        <w:rFonts w:ascii="Courier New" w:hAnsi="Courier New" w:cs="Courier New" w:hint="default"/>
      </w:rPr>
    </w:lvl>
    <w:lvl w:ilvl="5" w:tplc="D8140872" w:tentative="1">
      <w:start w:val="1"/>
      <w:numFmt w:val="bullet"/>
      <w:lvlText w:val=""/>
      <w:lvlJc w:val="left"/>
      <w:pPr>
        <w:ind w:left="4320" w:hanging="360"/>
      </w:pPr>
      <w:rPr>
        <w:rFonts w:ascii="Wingdings" w:hAnsi="Wingdings" w:hint="default"/>
      </w:rPr>
    </w:lvl>
    <w:lvl w:ilvl="6" w:tplc="37201028" w:tentative="1">
      <w:start w:val="1"/>
      <w:numFmt w:val="bullet"/>
      <w:lvlText w:val=""/>
      <w:lvlJc w:val="left"/>
      <w:pPr>
        <w:ind w:left="5040" w:hanging="360"/>
      </w:pPr>
      <w:rPr>
        <w:rFonts w:ascii="Symbol" w:hAnsi="Symbol" w:hint="default"/>
      </w:rPr>
    </w:lvl>
    <w:lvl w:ilvl="7" w:tplc="1908B5E6" w:tentative="1">
      <w:start w:val="1"/>
      <w:numFmt w:val="bullet"/>
      <w:lvlText w:val="o"/>
      <w:lvlJc w:val="left"/>
      <w:pPr>
        <w:ind w:left="5760" w:hanging="360"/>
      </w:pPr>
      <w:rPr>
        <w:rFonts w:ascii="Courier New" w:hAnsi="Courier New" w:cs="Courier New" w:hint="default"/>
      </w:rPr>
    </w:lvl>
    <w:lvl w:ilvl="8" w:tplc="BDCE05CE" w:tentative="1">
      <w:start w:val="1"/>
      <w:numFmt w:val="bullet"/>
      <w:lvlText w:val=""/>
      <w:lvlJc w:val="left"/>
      <w:pPr>
        <w:ind w:left="6480" w:hanging="360"/>
      </w:pPr>
      <w:rPr>
        <w:rFonts w:ascii="Wingdings" w:hAnsi="Wingdings" w:hint="default"/>
      </w:rPr>
    </w:lvl>
  </w:abstractNum>
  <w:abstractNum w:abstractNumId="27" w15:restartNumberingAfterBreak="0">
    <w:nsid w:val="7FCB6DE2"/>
    <w:multiLevelType w:val="hybridMultilevel"/>
    <w:tmpl w:val="0D76C286"/>
    <w:lvl w:ilvl="0" w:tplc="8B20B6D0">
      <w:start w:val="1"/>
      <w:numFmt w:val="decimal"/>
      <w:lvlText w:val="%1."/>
      <w:lvlJc w:val="left"/>
      <w:pPr>
        <w:ind w:left="360" w:hanging="360"/>
      </w:pPr>
    </w:lvl>
    <w:lvl w:ilvl="1" w:tplc="C46E32CE" w:tentative="1">
      <w:start w:val="1"/>
      <w:numFmt w:val="lowerLetter"/>
      <w:lvlText w:val="%2."/>
      <w:lvlJc w:val="left"/>
      <w:pPr>
        <w:ind w:left="1080" w:hanging="360"/>
      </w:pPr>
    </w:lvl>
    <w:lvl w:ilvl="2" w:tplc="5602DEE2" w:tentative="1">
      <w:start w:val="1"/>
      <w:numFmt w:val="lowerRoman"/>
      <w:lvlText w:val="%3."/>
      <w:lvlJc w:val="right"/>
      <w:pPr>
        <w:ind w:left="1800" w:hanging="180"/>
      </w:pPr>
    </w:lvl>
    <w:lvl w:ilvl="3" w:tplc="2940E8E0" w:tentative="1">
      <w:start w:val="1"/>
      <w:numFmt w:val="decimal"/>
      <w:lvlText w:val="%4."/>
      <w:lvlJc w:val="left"/>
      <w:pPr>
        <w:ind w:left="2520" w:hanging="360"/>
      </w:pPr>
    </w:lvl>
    <w:lvl w:ilvl="4" w:tplc="6CA442BA" w:tentative="1">
      <w:start w:val="1"/>
      <w:numFmt w:val="lowerLetter"/>
      <w:lvlText w:val="%5."/>
      <w:lvlJc w:val="left"/>
      <w:pPr>
        <w:ind w:left="3240" w:hanging="360"/>
      </w:pPr>
    </w:lvl>
    <w:lvl w:ilvl="5" w:tplc="2C227446" w:tentative="1">
      <w:start w:val="1"/>
      <w:numFmt w:val="lowerRoman"/>
      <w:lvlText w:val="%6."/>
      <w:lvlJc w:val="right"/>
      <w:pPr>
        <w:ind w:left="3960" w:hanging="180"/>
      </w:pPr>
    </w:lvl>
    <w:lvl w:ilvl="6" w:tplc="23F2755C" w:tentative="1">
      <w:start w:val="1"/>
      <w:numFmt w:val="decimal"/>
      <w:lvlText w:val="%7."/>
      <w:lvlJc w:val="left"/>
      <w:pPr>
        <w:ind w:left="4680" w:hanging="360"/>
      </w:pPr>
    </w:lvl>
    <w:lvl w:ilvl="7" w:tplc="CC7C2BF6" w:tentative="1">
      <w:start w:val="1"/>
      <w:numFmt w:val="lowerLetter"/>
      <w:lvlText w:val="%8."/>
      <w:lvlJc w:val="left"/>
      <w:pPr>
        <w:ind w:left="5400" w:hanging="360"/>
      </w:pPr>
    </w:lvl>
    <w:lvl w:ilvl="8" w:tplc="F2B48124" w:tentative="1">
      <w:start w:val="1"/>
      <w:numFmt w:val="lowerRoman"/>
      <w:lvlText w:val="%9."/>
      <w:lvlJc w:val="right"/>
      <w:pPr>
        <w:ind w:left="6120" w:hanging="180"/>
      </w:pPr>
    </w:lvl>
  </w:abstractNum>
  <w:abstractNum w:abstractNumId="28" w15:restartNumberingAfterBreak="0">
    <w:nsid w:val="7FCB6DE3"/>
    <w:multiLevelType w:val="hybridMultilevel"/>
    <w:tmpl w:val="BDA61AAC"/>
    <w:lvl w:ilvl="0" w:tplc="D004E956">
      <w:start w:val="1"/>
      <w:numFmt w:val="bullet"/>
      <w:lvlText w:val=""/>
      <w:lvlJc w:val="left"/>
      <w:pPr>
        <w:ind w:left="720" w:hanging="360"/>
      </w:pPr>
      <w:rPr>
        <w:rFonts w:ascii="Symbol" w:hAnsi="Symbol" w:hint="default"/>
      </w:rPr>
    </w:lvl>
    <w:lvl w:ilvl="1" w:tplc="3C5E3E90">
      <w:start w:val="1"/>
      <w:numFmt w:val="bullet"/>
      <w:lvlText w:val="o"/>
      <w:lvlJc w:val="left"/>
      <w:pPr>
        <w:ind w:left="1440" w:hanging="360"/>
      </w:pPr>
      <w:rPr>
        <w:rFonts w:ascii="Courier New" w:hAnsi="Courier New" w:cs="Courier New" w:hint="default"/>
      </w:rPr>
    </w:lvl>
    <w:lvl w:ilvl="2" w:tplc="AE102FE6" w:tentative="1">
      <w:start w:val="1"/>
      <w:numFmt w:val="bullet"/>
      <w:lvlText w:val=""/>
      <w:lvlJc w:val="left"/>
      <w:pPr>
        <w:ind w:left="2160" w:hanging="360"/>
      </w:pPr>
      <w:rPr>
        <w:rFonts w:ascii="Wingdings" w:hAnsi="Wingdings" w:hint="default"/>
      </w:rPr>
    </w:lvl>
    <w:lvl w:ilvl="3" w:tplc="F00A5E6C" w:tentative="1">
      <w:start w:val="1"/>
      <w:numFmt w:val="bullet"/>
      <w:lvlText w:val=""/>
      <w:lvlJc w:val="left"/>
      <w:pPr>
        <w:ind w:left="2880" w:hanging="360"/>
      </w:pPr>
      <w:rPr>
        <w:rFonts w:ascii="Symbol" w:hAnsi="Symbol" w:hint="default"/>
      </w:rPr>
    </w:lvl>
    <w:lvl w:ilvl="4" w:tplc="E0965ED2" w:tentative="1">
      <w:start w:val="1"/>
      <w:numFmt w:val="bullet"/>
      <w:lvlText w:val="o"/>
      <w:lvlJc w:val="left"/>
      <w:pPr>
        <w:ind w:left="3600" w:hanging="360"/>
      </w:pPr>
      <w:rPr>
        <w:rFonts w:ascii="Courier New" w:hAnsi="Courier New" w:cs="Courier New" w:hint="default"/>
      </w:rPr>
    </w:lvl>
    <w:lvl w:ilvl="5" w:tplc="112AD330" w:tentative="1">
      <w:start w:val="1"/>
      <w:numFmt w:val="bullet"/>
      <w:lvlText w:val=""/>
      <w:lvlJc w:val="left"/>
      <w:pPr>
        <w:ind w:left="4320" w:hanging="360"/>
      </w:pPr>
      <w:rPr>
        <w:rFonts w:ascii="Wingdings" w:hAnsi="Wingdings" w:hint="default"/>
      </w:rPr>
    </w:lvl>
    <w:lvl w:ilvl="6" w:tplc="9612CDFA" w:tentative="1">
      <w:start w:val="1"/>
      <w:numFmt w:val="bullet"/>
      <w:lvlText w:val=""/>
      <w:lvlJc w:val="left"/>
      <w:pPr>
        <w:ind w:left="5040" w:hanging="360"/>
      </w:pPr>
      <w:rPr>
        <w:rFonts w:ascii="Symbol" w:hAnsi="Symbol" w:hint="default"/>
      </w:rPr>
    </w:lvl>
    <w:lvl w:ilvl="7" w:tplc="70724DB4" w:tentative="1">
      <w:start w:val="1"/>
      <w:numFmt w:val="bullet"/>
      <w:lvlText w:val="o"/>
      <w:lvlJc w:val="left"/>
      <w:pPr>
        <w:ind w:left="5760" w:hanging="360"/>
      </w:pPr>
      <w:rPr>
        <w:rFonts w:ascii="Courier New" w:hAnsi="Courier New" w:cs="Courier New" w:hint="default"/>
      </w:rPr>
    </w:lvl>
    <w:lvl w:ilvl="8" w:tplc="4E709ADE" w:tentative="1">
      <w:start w:val="1"/>
      <w:numFmt w:val="bullet"/>
      <w:lvlText w:val=""/>
      <w:lvlJc w:val="left"/>
      <w:pPr>
        <w:ind w:left="6480" w:hanging="360"/>
      </w:pPr>
      <w:rPr>
        <w:rFonts w:ascii="Wingdings" w:hAnsi="Wingdings" w:hint="default"/>
      </w:rPr>
    </w:lvl>
  </w:abstractNum>
  <w:abstractNum w:abstractNumId="29" w15:restartNumberingAfterBreak="0">
    <w:nsid w:val="7FCB6DE4"/>
    <w:multiLevelType w:val="hybridMultilevel"/>
    <w:tmpl w:val="5E7875AC"/>
    <w:lvl w:ilvl="0" w:tplc="CF382910">
      <w:numFmt w:val="bullet"/>
      <w:lvlText w:val="-"/>
      <w:lvlJc w:val="left"/>
      <w:pPr>
        <w:ind w:left="1440" w:hanging="360"/>
      </w:pPr>
      <w:rPr>
        <w:rFonts w:ascii="Arial" w:eastAsia="Arial" w:hAnsi="Arial" w:cs="Arial" w:hint="default"/>
      </w:rPr>
    </w:lvl>
    <w:lvl w:ilvl="1" w:tplc="A65A45BA">
      <w:start w:val="1"/>
      <w:numFmt w:val="bullet"/>
      <w:lvlText w:val="o"/>
      <w:lvlJc w:val="left"/>
      <w:pPr>
        <w:ind w:left="2160" w:hanging="360"/>
      </w:pPr>
      <w:rPr>
        <w:rFonts w:ascii="Courier New" w:hAnsi="Courier New" w:cs="Courier New" w:hint="default"/>
      </w:rPr>
    </w:lvl>
    <w:lvl w:ilvl="2" w:tplc="7A7EAE92" w:tentative="1">
      <w:start w:val="1"/>
      <w:numFmt w:val="bullet"/>
      <w:lvlText w:val=""/>
      <w:lvlJc w:val="left"/>
      <w:pPr>
        <w:ind w:left="2880" w:hanging="360"/>
      </w:pPr>
      <w:rPr>
        <w:rFonts w:ascii="Wingdings" w:hAnsi="Wingdings" w:hint="default"/>
      </w:rPr>
    </w:lvl>
    <w:lvl w:ilvl="3" w:tplc="C8EEFDA6" w:tentative="1">
      <w:start w:val="1"/>
      <w:numFmt w:val="bullet"/>
      <w:lvlText w:val=""/>
      <w:lvlJc w:val="left"/>
      <w:pPr>
        <w:ind w:left="3600" w:hanging="360"/>
      </w:pPr>
      <w:rPr>
        <w:rFonts w:ascii="Symbol" w:hAnsi="Symbol" w:hint="default"/>
      </w:rPr>
    </w:lvl>
    <w:lvl w:ilvl="4" w:tplc="52804B82" w:tentative="1">
      <w:start w:val="1"/>
      <w:numFmt w:val="bullet"/>
      <w:lvlText w:val="o"/>
      <w:lvlJc w:val="left"/>
      <w:pPr>
        <w:ind w:left="4320" w:hanging="360"/>
      </w:pPr>
      <w:rPr>
        <w:rFonts w:ascii="Courier New" w:hAnsi="Courier New" w:cs="Courier New" w:hint="default"/>
      </w:rPr>
    </w:lvl>
    <w:lvl w:ilvl="5" w:tplc="18BC2F34" w:tentative="1">
      <w:start w:val="1"/>
      <w:numFmt w:val="bullet"/>
      <w:lvlText w:val=""/>
      <w:lvlJc w:val="left"/>
      <w:pPr>
        <w:ind w:left="5040" w:hanging="360"/>
      </w:pPr>
      <w:rPr>
        <w:rFonts w:ascii="Wingdings" w:hAnsi="Wingdings" w:hint="default"/>
      </w:rPr>
    </w:lvl>
    <w:lvl w:ilvl="6" w:tplc="478C2C1A" w:tentative="1">
      <w:start w:val="1"/>
      <w:numFmt w:val="bullet"/>
      <w:lvlText w:val=""/>
      <w:lvlJc w:val="left"/>
      <w:pPr>
        <w:ind w:left="5760" w:hanging="360"/>
      </w:pPr>
      <w:rPr>
        <w:rFonts w:ascii="Symbol" w:hAnsi="Symbol" w:hint="default"/>
      </w:rPr>
    </w:lvl>
    <w:lvl w:ilvl="7" w:tplc="55D2D2CE" w:tentative="1">
      <w:start w:val="1"/>
      <w:numFmt w:val="bullet"/>
      <w:lvlText w:val="o"/>
      <w:lvlJc w:val="left"/>
      <w:pPr>
        <w:ind w:left="6480" w:hanging="360"/>
      </w:pPr>
      <w:rPr>
        <w:rFonts w:ascii="Courier New" w:hAnsi="Courier New" w:cs="Courier New" w:hint="default"/>
      </w:rPr>
    </w:lvl>
    <w:lvl w:ilvl="8" w:tplc="B074E1A6" w:tentative="1">
      <w:start w:val="1"/>
      <w:numFmt w:val="bullet"/>
      <w:lvlText w:val=""/>
      <w:lvlJc w:val="left"/>
      <w:pPr>
        <w:ind w:left="7200" w:hanging="360"/>
      </w:pPr>
      <w:rPr>
        <w:rFonts w:ascii="Wingdings" w:hAnsi="Wingdings" w:hint="default"/>
      </w:rPr>
    </w:lvl>
  </w:abstractNum>
  <w:abstractNum w:abstractNumId="30" w15:restartNumberingAfterBreak="0">
    <w:nsid w:val="7FCB6DE5"/>
    <w:multiLevelType w:val="hybridMultilevel"/>
    <w:tmpl w:val="8DB4C5EC"/>
    <w:lvl w:ilvl="0" w:tplc="F0E05930">
      <w:start w:val="1"/>
      <w:numFmt w:val="bullet"/>
      <w:lvlText w:val=""/>
      <w:lvlJc w:val="left"/>
      <w:pPr>
        <w:ind w:left="720" w:hanging="360"/>
      </w:pPr>
      <w:rPr>
        <w:rFonts w:ascii="Symbol" w:hAnsi="Symbol" w:hint="default"/>
      </w:rPr>
    </w:lvl>
    <w:lvl w:ilvl="1" w:tplc="2084CB5C">
      <w:start w:val="1"/>
      <w:numFmt w:val="bullet"/>
      <w:lvlText w:val="o"/>
      <w:lvlJc w:val="left"/>
      <w:pPr>
        <w:ind w:left="1440" w:hanging="360"/>
      </w:pPr>
      <w:rPr>
        <w:rFonts w:ascii="Courier New" w:hAnsi="Courier New" w:cs="Courier New" w:hint="default"/>
      </w:rPr>
    </w:lvl>
    <w:lvl w:ilvl="2" w:tplc="4732C1BC" w:tentative="1">
      <w:start w:val="1"/>
      <w:numFmt w:val="bullet"/>
      <w:lvlText w:val=""/>
      <w:lvlJc w:val="left"/>
      <w:pPr>
        <w:ind w:left="2160" w:hanging="360"/>
      </w:pPr>
      <w:rPr>
        <w:rFonts w:ascii="Wingdings" w:hAnsi="Wingdings" w:hint="default"/>
      </w:rPr>
    </w:lvl>
    <w:lvl w:ilvl="3" w:tplc="D05E3456" w:tentative="1">
      <w:start w:val="1"/>
      <w:numFmt w:val="bullet"/>
      <w:lvlText w:val=""/>
      <w:lvlJc w:val="left"/>
      <w:pPr>
        <w:ind w:left="2880" w:hanging="360"/>
      </w:pPr>
      <w:rPr>
        <w:rFonts w:ascii="Symbol" w:hAnsi="Symbol" w:hint="default"/>
      </w:rPr>
    </w:lvl>
    <w:lvl w:ilvl="4" w:tplc="306C0E3A" w:tentative="1">
      <w:start w:val="1"/>
      <w:numFmt w:val="bullet"/>
      <w:lvlText w:val="o"/>
      <w:lvlJc w:val="left"/>
      <w:pPr>
        <w:ind w:left="3600" w:hanging="360"/>
      </w:pPr>
      <w:rPr>
        <w:rFonts w:ascii="Courier New" w:hAnsi="Courier New" w:cs="Courier New" w:hint="default"/>
      </w:rPr>
    </w:lvl>
    <w:lvl w:ilvl="5" w:tplc="38ACB0C0" w:tentative="1">
      <w:start w:val="1"/>
      <w:numFmt w:val="bullet"/>
      <w:lvlText w:val=""/>
      <w:lvlJc w:val="left"/>
      <w:pPr>
        <w:ind w:left="4320" w:hanging="360"/>
      </w:pPr>
      <w:rPr>
        <w:rFonts w:ascii="Wingdings" w:hAnsi="Wingdings" w:hint="default"/>
      </w:rPr>
    </w:lvl>
    <w:lvl w:ilvl="6" w:tplc="40F2E0E4" w:tentative="1">
      <w:start w:val="1"/>
      <w:numFmt w:val="bullet"/>
      <w:lvlText w:val=""/>
      <w:lvlJc w:val="left"/>
      <w:pPr>
        <w:ind w:left="5040" w:hanging="360"/>
      </w:pPr>
      <w:rPr>
        <w:rFonts w:ascii="Symbol" w:hAnsi="Symbol" w:hint="default"/>
      </w:rPr>
    </w:lvl>
    <w:lvl w:ilvl="7" w:tplc="432205D2" w:tentative="1">
      <w:start w:val="1"/>
      <w:numFmt w:val="bullet"/>
      <w:lvlText w:val="o"/>
      <w:lvlJc w:val="left"/>
      <w:pPr>
        <w:ind w:left="5760" w:hanging="360"/>
      </w:pPr>
      <w:rPr>
        <w:rFonts w:ascii="Courier New" w:hAnsi="Courier New" w:cs="Courier New" w:hint="default"/>
      </w:rPr>
    </w:lvl>
    <w:lvl w:ilvl="8" w:tplc="9322F040" w:tentative="1">
      <w:start w:val="1"/>
      <w:numFmt w:val="bullet"/>
      <w:lvlText w:val=""/>
      <w:lvlJc w:val="left"/>
      <w:pPr>
        <w:ind w:left="6480" w:hanging="360"/>
      </w:pPr>
      <w:rPr>
        <w:rFonts w:ascii="Wingdings" w:hAnsi="Wingdings" w:hint="default"/>
      </w:rPr>
    </w:lvl>
  </w:abstractNum>
  <w:abstractNum w:abstractNumId="31" w15:restartNumberingAfterBreak="0">
    <w:nsid w:val="7FCB6DE6"/>
    <w:multiLevelType w:val="hybridMultilevel"/>
    <w:tmpl w:val="A88A4F78"/>
    <w:lvl w:ilvl="0" w:tplc="1278F824">
      <w:start w:val="1"/>
      <w:numFmt w:val="bullet"/>
      <w:lvlText w:val=""/>
      <w:lvlJc w:val="left"/>
      <w:pPr>
        <w:ind w:left="720" w:hanging="360"/>
      </w:pPr>
      <w:rPr>
        <w:rFonts w:ascii="Symbol" w:hAnsi="Symbol" w:hint="default"/>
      </w:rPr>
    </w:lvl>
    <w:lvl w:ilvl="1" w:tplc="15942186">
      <w:numFmt w:val="bullet"/>
      <w:lvlText w:val="-"/>
      <w:lvlJc w:val="left"/>
      <w:pPr>
        <w:ind w:left="1440" w:hanging="360"/>
      </w:pPr>
      <w:rPr>
        <w:rFonts w:ascii="Arial" w:eastAsia="Arial" w:hAnsi="Arial" w:cs="Arial" w:hint="default"/>
      </w:rPr>
    </w:lvl>
    <w:lvl w:ilvl="2" w:tplc="7C288C1A" w:tentative="1">
      <w:start w:val="1"/>
      <w:numFmt w:val="bullet"/>
      <w:lvlText w:val=""/>
      <w:lvlJc w:val="left"/>
      <w:pPr>
        <w:ind w:left="2160" w:hanging="360"/>
      </w:pPr>
      <w:rPr>
        <w:rFonts w:ascii="Wingdings" w:hAnsi="Wingdings" w:hint="default"/>
      </w:rPr>
    </w:lvl>
    <w:lvl w:ilvl="3" w:tplc="41C4850A" w:tentative="1">
      <w:start w:val="1"/>
      <w:numFmt w:val="bullet"/>
      <w:lvlText w:val=""/>
      <w:lvlJc w:val="left"/>
      <w:pPr>
        <w:ind w:left="2880" w:hanging="360"/>
      </w:pPr>
      <w:rPr>
        <w:rFonts w:ascii="Symbol" w:hAnsi="Symbol" w:hint="default"/>
      </w:rPr>
    </w:lvl>
    <w:lvl w:ilvl="4" w:tplc="3A3805C2" w:tentative="1">
      <w:start w:val="1"/>
      <w:numFmt w:val="bullet"/>
      <w:lvlText w:val="o"/>
      <w:lvlJc w:val="left"/>
      <w:pPr>
        <w:ind w:left="3600" w:hanging="360"/>
      </w:pPr>
      <w:rPr>
        <w:rFonts w:ascii="Courier New" w:hAnsi="Courier New" w:cs="Courier New" w:hint="default"/>
      </w:rPr>
    </w:lvl>
    <w:lvl w:ilvl="5" w:tplc="601EF0DC" w:tentative="1">
      <w:start w:val="1"/>
      <w:numFmt w:val="bullet"/>
      <w:lvlText w:val=""/>
      <w:lvlJc w:val="left"/>
      <w:pPr>
        <w:ind w:left="4320" w:hanging="360"/>
      </w:pPr>
      <w:rPr>
        <w:rFonts w:ascii="Wingdings" w:hAnsi="Wingdings" w:hint="default"/>
      </w:rPr>
    </w:lvl>
    <w:lvl w:ilvl="6" w:tplc="F084ACF6" w:tentative="1">
      <w:start w:val="1"/>
      <w:numFmt w:val="bullet"/>
      <w:lvlText w:val=""/>
      <w:lvlJc w:val="left"/>
      <w:pPr>
        <w:ind w:left="5040" w:hanging="360"/>
      </w:pPr>
      <w:rPr>
        <w:rFonts w:ascii="Symbol" w:hAnsi="Symbol" w:hint="default"/>
      </w:rPr>
    </w:lvl>
    <w:lvl w:ilvl="7" w:tplc="F8929CE8" w:tentative="1">
      <w:start w:val="1"/>
      <w:numFmt w:val="bullet"/>
      <w:lvlText w:val="o"/>
      <w:lvlJc w:val="left"/>
      <w:pPr>
        <w:ind w:left="5760" w:hanging="360"/>
      </w:pPr>
      <w:rPr>
        <w:rFonts w:ascii="Courier New" w:hAnsi="Courier New" w:cs="Courier New" w:hint="default"/>
      </w:rPr>
    </w:lvl>
    <w:lvl w:ilvl="8" w:tplc="F91EBB2C"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25"/>
  </w:num>
  <w:num w:numId="14">
    <w:abstractNumId w:val="19"/>
  </w:num>
  <w:num w:numId="15">
    <w:abstractNumId w:val="23"/>
  </w:num>
  <w:num w:numId="16">
    <w:abstractNumId w:val="14"/>
  </w:num>
  <w:num w:numId="17">
    <w:abstractNumId w:val="16"/>
  </w:num>
  <w:num w:numId="18">
    <w:abstractNumId w:val="24"/>
  </w:num>
  <w:num w:numId="19">
    <w:abstractNumId w:val="11"/>
  </w:num>
  <w:num w:numId="20">
    <w:abstractNumId w:val="21"/>
  </w:num>
  <w:num w:numId="21">
    <w:abstractNumId w:val="18"/>
  </w:num>
  <w:num w:numId="22">
    <w:abstractNumId w:val="22"/>
  </w:num>
  <w:num w:numId="23">
    <w:abstractNumId w:val="20"/>
  </w:num>
  <w:num w:numId="24">
    <w:abstractNumId w:val="13"/>
  </w:num>
  <w:num w:numId="25">
    <w:abstractNumId w:val="15"/>
  </w:num>
  <w:num w:numId="26">
    <w:abstractNumId w:val="17"/>
  </w:num>
  <w:num w:numId="27">
    <w:abstractNumId w:val="26"/>
  </w:num>
  <w:num w:numId="28">
    <w:abstractNumId w:val="27"/>
  </w:num>
  <w:num w:numId="29">
    <w:abstractNumId w:val="28"/>
  </w:num>
  <w:num w:numId="30">
    <w:abstractNumId w:val="29"/>
  </w:num>
  <w:num w:numId="31">
    <w:abstractNumId w:val="30"/>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mailMerge>
    <w:mainDocumentType w:val="formLetters"/>
    <w:dataType w:val="textFile"/>
    <w:connectString w:val=""/>
    <w:activeRecord w:val="-1"/>
    <w:odso/>
  </w:mailMerge>
  <w:documentProtection w:enforcement="0"/>
  <w:autoFormatOverride/>
  <w:defaultTabStop w:val="720"/>
  <w:drawingGridHorizontalSpacing w:val="9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1F2"/>
    <w:rsid w:val="000E456B"/>
    <w:rsid w:val="004161F2"/>
    <w:rsid w:val="004632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D6CE27-1C92-4AB0-BA1A-CDE41ED21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semiHidden/>
    <w:unhideWhenUsed/>
    <w:qFormat/>
    <w:locked/>
    <w:rsid w:val="00B13A0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eastAsiaTheme="majorEastAsia" w:hAnsi="Arial" w:cstheme="majorBidi"/>
      <w:b/>
      <w:caps/>
      <w:color w:val="AF272F"/>
      <w:sz w:val="20"/>
      <w:szCs w:val="20"/>
    </w:rPr>
  </w:style>
  <w:style w:type="character" w:styleId="Strong">
    <w:name w:val="Strong"/>
    <w:basedOn w:val="DefaultParagraphFont"/>
    <w:uiPriority w:val="22"/>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uiPriority w:val="99"/>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locked/>
    <w:rsid w:val="001F6230"/>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1F6230"/>
    <w:rPr>
      <w:rFonts w:ascii="Segoe UI" w:hAnsi="Segoe UI" w:cs="Segoe UI"/>
      <w:sz w:val="18"/>
      <w:szCs w:val="18"/>
    </w:rPr>
  </w:style>
  <w:style w:type="character" w:customStyle="1" w:styleId="Heading4Char">
    <w:name w:val="Heading 4 Char"/>
    <w:basedOn w:val="DefaultParagraphFont"/>
    <w:link w:val="Heading4"/>
    <w:uiPriority w:val="9"/>
    <w:semiHidden/>
    <w:rsid w:val="00B13A07"/>
    <w:rPr>
      <w:rFonts w:asciiTheme="majorHAnsi" w:eastAsiaTheme="majorEastAsia" w:hAnsiTheme="majorHAnsi" w:cstheme="majorBidi"/>
      <w:i/>
      <w:iCs/>
      <w:color w:val="365F91" w:themeColor="accent1" w:themeShade="BF"/>
      <w:sz w:val="18"/>
      <w:szCs w:val="18"/>
    </w:rPr>
  </w:style>
  <w:style w:type="character" w:styleId="Hyperlink">
    <w:name w:val="Hyperlink"/>
    <w:basedOn w:val="DefaultParagraphFont"/>
    <w:uiPriority w:val="99"/>
    <w:unhideWhenUsed/>
    <w:locked/>
    <w:rsid w:val="00F73E5D"/>
    <w:rPr>
      <w:color w:val="0000FF"/>
      <w:u w:val="single"/>
    </w:rPr>
  </w:style>
  <w:style w:type="table" w:customStyle="1" w:styleId="GridTable2-Accent61">
    <w:name w:val="Grid Table 2 - Accent 61"/>
    <w:basedOn w:val="TableNormal"/>
    <w:uiPriority w:val="47"/>
    <w:rPr>
      <w:rFonts w:eastAsia="Arial"/>
      <w:sz w:val="22"/>
      <w:szCs w:val="22"/>
      <w:lang w:val="en-AU"/>
    </w:rPr>
    <w:tblPr>
      <w:tblStyleRowBandSize w:val="1"/>
      <w:tblStyleColBandSize w:val="1"/>
      <w:tblBorders>
        <w:top w:val="single" w:sz="2" w:space="0" w:color="FFFFFF"/>
        <w:bottom w:val="single" w:sz="2" w:space="0" w:color="FFFFFF"/>
        <w:insideH w:val="single" w:sz="2" w:space="0" w:color="FFFFFF"/>
        <w:insideV w:val="single" w:sz="2" w:space="0" w:color="FFFFFF"/>
      </w:tblBorders>
    </w:tblPr>
    <w:tblStylePr w:type="firstRow">
      <w:rPr>
        <w:b/>
        <w:bCs/>
      </w:rPr>
      <w:tblPr/>
      <w:tcPr>
        <w:tcBorders>
          <w:top w:val="nil"/>
          <w:bottom w:val="single" w:sz="12" w:space="0" w:color="FFFFFF"/>
          <w:insideH w:val="nil"/>
          <w:insideV w:val="nil"/>
        </w:tcBorders>
        <w:shd w:val="clear" w:color="auto" w:fill="AF272F"/>
      </w:tcPr>
    </w:tblStylePr>
    <w:tblStylePr w:type="lastRow">
      <w:rPr>
        <w:b/>
        <w:bCs/>
      </w:rPr>
      <w:tblPr/>
      <w:tcPr>
        <w:tcBorders>
          <w:top w:val="double" w:sz="2" w:space="0" w:color="FFFFFF"/>
          <w:bottom w:val="nil"/>
          <w:insideH w:val="nil"/>
          <w:insideV w:val="nil"/>
        </w:tcBorders>
        <w:shd w:val="clear" w:color="auto" w:fill="AF272F"/>
      </w:tcPr>
    </w:tblStylePr>
    <w:tblStylePr w:type="firstCol">
      <w:rPr>
        <w:b/>
        <w:bCs/>
      </w:rPr>
    </w:tblStylePr>
    <w:tblStylePr w:type="lastCol">
      <w:rPr>
        <w:b/>
        <w:bCs/>
      </w:rPr>
    </w:tblStylePr>
    <w:tblStylePr w:type="band1Vert">
      <w:tblPr/>
      <w:tcPr>
        <w:shd w:val="clear" w:color="auto" w:fill="FFFFFF"/>
      </w:tcPr>
    </w:tblStylePr>
    <w:tblStylePr w:type="band1Horz">
      <w:tblPr/>
      <w:tcPr>
        <w:shd w:val="clear" w:color="auto" w:fill="FFFFFF"/>
      </w:tcPr>
    </w:tblStylePr>
  </w:style>
  <w:style w:type="table" w:customStyle="1" w:styleId="GridTable2-Accent611">
    <w:name w:val="Grid Table 2 - Accent 611"/>
    <w:basedOn w:val="TableNormal"/>
    <w:uiPriority w:val="47"/>
    <w:rPr>
      <w:rFonts w:eastAsia="Arial"/>
      <w:sz w:val="22"/>
      <w:szCs w:val="22"/>
      <w:lang w:val="en-AU"/>
    </w:rPr>
    <w:tblPr>
      <w:tblStyleRowBandSize w:val="1"/>
      <w:tblStyleColBandSize w:val="1"/>
      <w:tblBorders>
        <w:top w:val="single" w:sz="2" w:space="0" w:color="FFFFFF"/>
        <w:bottom w:val="single" w:sz="2" w:space="0" w:color="FFFFFF"/>
        <w:insideH w:val="single" w:sz="2" w:space="0" w:color="FFFFFF"/>
        <w:insideV w:val="single" w:sz="2" w:space="0" w:color="FFFFFF"/>
      </w:tblBorders>
    </w:tblPr>
    <w:tblStylePr w:type="firstRow">
      <w:rPr>
        <w:b/>
        <w:bCs/>
      </w:rPr>
      <w:tblPr/>
      <w:tcPr>
        <w:tcBorders>
          <w:top w:val="nil"/>
          <w:bottom w:val="single" w:sz="12" w:space="0" w:color="FFFFFF"/>
          <w:insideH w:val="nil"/>
          <w:insideV w:val="nil"/>
        </w:tcBorders>
        <w:shd w:val="clear" w:color="auto" w:fill="AF272F"/>
      </w:tcPr>
    </w:tblStylePr>
    <w:tblStylePr w:type="lastRow">
      <w:rPr>
        <w:b/>
        <w:bCs/>
      </w:rPr>
      <w:tblPr/>
      <w:tcPr>
        <w:tcBorders>
          <w:top w:val="double" w:sz="2" w:space="0" w:color="FFFFFF"/>
          <w:bottom w:val="nil"/>
          <w:insideH w:val="nil"/>
          <w:insideV w:val="nil"/>
        </w:tcBorders>
        <w:shd w:val="clear" w:color="auto" w:fill="AF272F"/>
      </w:tcPr>
    </w:tblStylePr>
    <w:tblStylePr w:type="firstCol">
      <w:rPr>
        <w:b/>
        <w:bCs/>
      </w:rPr>
    </w:tblStylePr>
    <w:tblStylePr w:type="lastCol">
      <w:rPr>
        <w:b/>
        <w:bCs/>
      </w:rPr>
    </w:tblStylePr>
    <w:tblStylePr w:type="band1Vert">
      <w:tblPr/>
      <w:tcPr>
        <w:shd w:val="clear" w:color="auto" w:fill="FFFFFF"/>
      </w:tcPr>
    </w:tblStylePr>
    <w:tblStylePr w:type="band1Horz">
      <w:tblPr/>
      <w:tcPr>
        <w:shd w:val="clear" w:color="auto" w:fill="FFFFFF"/>
      </w:tcPr>
    </w:tblStylePr>
  </w:style>
  <w:style w:type="table" w:customStyle="1" w:styleId="GridTable2-Accent6121">
    <w:name w:val="Grid Table 2 - Accent 6121"/>
    <w:basedOn w:val="TableNormal"/>
    <w:uiPriority w:val="47"/>
    <w:rPr>
      <w:rFonts w:eastAsia="Arial"/>
      <w:sz w:val="22"/>
      <w:szCs w:val="22"/>
      <w:lang w:val="en-AU"/>
    </w:rPr>
    <w:tblPr>
      <w:tblStyleRowBandSize w:val="1"/>
      <w:tblStyleColBandSize w:val="1"/>
      <w:tblBorders>
        <w:top w:val="single" w:sz="2" w:space="0" w:color="FFFFFF"/>
        <w:bottom w:val="single" w:sz="2" w:space="0" w:color="FFFFFF"/>
        <w:insideH w:val="single" w:sz="2" w:space="0" w:color="FFFFFF"/>
        <w:insideV w:val="single" w:sz="2" w:space="0" w:color="FFFFFF"/>
      </w:tblBorders>
    </w:tblPr>
    <w:tblStylePr w:type="firstRow">
      <w:rPr>
        <w:b/>
        <w:bCs/>
      </w:rPr>
      <w:tblPr/>
      <w:tcPr>
        <w:tcBorders>
          <w:top w:val="nil"/>
          <w:bottom w:val="single" w:sz="12" w:space="0" w:color="FFFFFF"/>
          <w:insideH w:val="nil"/>
          <w:insideV w:val="nil"/>
        </w:tcBorders>
        <w:shd w:val="clear" w:color="auto" w:fill="AF272F"/>
      </w:tcPr>
    </w:tblStylePr>
    <w:tblStylePr w:type="lastRow">
      <w:rPr>
        <w:b/>
        <w:bCs/>
      </w:rPr>
      <w:tblPr/>
      <w:tcPr>
        <w:tcBorders>
          <w:top w:val="double" w:sz="2" w:space="0" w:color="FFFFFF"/>
          <w:bottom w:val="nil"/>
          <w:insideH w:val="nil"/>
          <w:insideV w:val="nil"/>
        </w:tcBorders>
        <w:shd w:val="clear" w:color="auto" w:fill="AF272F"/>
      </w:tcPr>
    </w:tblStylePr>
    <w:tblStylePr w:type="firstCol">
      <w:rPr>
        <w:b/>
        <w:bCs/>
      </w:rPr>
    </w:tblStylePr>
    <w:tblStylePr w:type="lastCol">
      <w:rPr>
        <w:b/>
        <w:bCs/>
      </w:rPr>
    </w:tblStylePr>
    <w:tblStylePr w:type="band1Vert">
      <w:tblPr/>
      <w:tcPr>
        <w:shd w:val="clear" w:color="auto" w:fill="FFFFFF"/>
      </w:tcPr>
    </w:tblStylePr>
    <w:tblStylePr w:type="band1Horz">
      <w:tblPr/>
      <w:tcPr>
        <w:shd w:val="clear" w:color="auto" w:fill="FFFFFF"/>
      </w:tcPr>
    </w:tblStylePr>
  </w:style>
  <w:style w:type="table" w:customStyle="1" w:styleId="GridTable2-Accent612">
    <w:name w:val="Grid Table 2 - Accent 612"/>
    <w:basedOn w:val="TableNormal"/>
    <w:uiPriority w:val="47"/>
    <w:rPr>
      <w:rFonts w:eastAsia="Arial"/>
      <w:sz w:val="22"/>
      <w:szCs w:val="22"/>
      <w:lang w:val="en-AU"/>
    </w:rPr>
    <w:tblPr>
      <w:tblStyleRowBandSize w:val="1"/>
      <w:tblStyleColBandSize w:val="1"/>
      <w:tblBorders>
        <w:top w:val="single" w:sz="2" w:space="0" w:color="FFFFFF"/>
        <w:bottom w:val="single" w:sz="2" w:space="0" w:color="FFFFFF"/>
        <w:insideH w:val="single" w:sz="2" w:space="0" w:color="FFFFFF"/>
        <w:insideV w:val="single" w:sz="2" w:space="0" w:color="FFFFFF"/>
      </w:tblBorders>
    </w:tblPr>
    <w:tblStylePr w:type="firstRow">
      <w:rPr>
        <w:b/>
        <w:bCs/>
      </w:rPr>
      <w:tblPr/>
      <w:tcPr>
        <w:tcBorders>
          <w:top w:val="nil"/>
          <w:bottom w:val="single" w:sz="12" w:space="0" w:color="FFFFFF"/>
          <w:insideH w:val="nil"/>
          <w:insideV w:val="nil"/>
        </w:tcBorders>
        <w:shd w:val="clear" w:color="auto" w:fill="AF272F"/>
      </w:tcPr>
    </w:tblStylePr>
    <w:tblStylePr w:type="lastRow">
      <w:rPr>
        <w:b/>
        <w:bCs/>
      </w:rPr>
      <w:tblPr/>
      <w:tcPr>
        <w:tcBorders>
          <w:top w:val="double" w:sz="2" w:space="0" w:color="FFFFFF"/>
          <w:bottom w:val="nil"/>
          <w:insideH w:val="nil"/>
          <w:insideV w:val="nil"/>
        </w:tcBorders>
        <w:shd w:val="clear" w:color="auto" w:fill="AF272F"/>
      </w:tcPr>
    </w:tblStylePr>
    <w:tblStylePr w:type="firstCol">
      <w:rPr>
        <w:b/>
        <w:bCs/>
      </w:rPr>
    </w:tblStylePr>
    <w:tblStylePr w:type="lastCol">
      <w:rPr>
        <w:b/>
        <w:bCs/>
      </w:rPr>
    </w:tblStylePr>
    <w:tblStylePr w:type="band1Vert">
      <w:tblPr/>
      <w:tcPr>
        <w:shd w:val="clear" w:color="auto" w:fill="FFFFFF"/>
      </w:tcPr>
    </w:tblStylePr>
    <w:tblStylePr w:type="band1Horz">
      <w:tblPr/>
      <w:tcPr>
        <w:shd w:val="clear" w:color="auto"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vit.vic.edu.au/" TargetMode="External"/><Relationship Id="rId18" Type="http://schemas.openxmlformats.org/officeDocument/2006/relationships/header" Target="header2.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2.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eader" Target="header4.xml"/><Relationship Id="rId28"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footer" Target="footer1.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vit.vic.edu.au/" TargetMode="External"/><Relationship Id="rId22" Type="http://schemas.openxmlformats.org/officeDocument/2006/relationships/hyperlink" Target="file:///C:\Users\01766196\AppData\Local\Microsoft\Windows\INetCache\IE\VP24I7NI\greensborough.ps@education.vic.gov.au" TargetMode="External"/><Relationship Id="rId27" Type="http://schemas.openxmlformats.org/officeDocument/2006/relationships/header" Target="header7.xm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header7.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A66E8-BEDF-4CC9-A9D0-A0D341F95659}">
  <ds:schemaRefs>
    <ds:schemaRef ds:uri="http://schemas.openxmlformats.org/package/2006/metadata/core-properties"/>
    <ds:schemaRef ds:uri="http://schemas.microsoft.com/office/2006/documentManagement/types"/>
    <ds:schemaRef ds:uri="http://schemas.microsoft.com/sharepoint/v3"/>
    <ds:schemaRef ds:uri="http://purl.org/dc/elements/1.1/"/>
    <ds:schemaRef ds:uri="http://schemas.microsoft.com/office/2006/metadata/properties"/>
    <ds:schemaRef ds:uri="http://www.w3.org/XML/1998/namespace"/>
    <ds:schemaRef ds:uri="http://purl.org/dc/term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3.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8D826A-78A9-4A6C-8034-99F2E8A12FB7}">
  <ds:schemaRefs>
    <ds:schemaRef ds:uri="http://schemas.microsoft.com/sharepoint/events"/>
  </ds:schemaRefs>
</ds:datastoreItem>
</file>

<file path=customXml/itemProps5.xml><?xml version="1.0" encoding="utf-8"?>
<ds:datastoreItem xmlns:ds="http://schemas.openxmlformats.org/officeDocument/2006/customXml" ds:itemID="{37073688-5C00-4A14-A315-05269396A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3997</Words>
  <Characters>22788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Angela Morritt</cp:lastModifiedBy>
  <cp:revision>2</cp:revision>
  <dcterms:created xsi:type="dcterms:W3CDTF">2021-02-16T03:59:00Z</dcterms:created>
  <dcterms:modified xsi:type="dcterms:W3CDTF">2021-02-16T03:59:00Z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