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932F" w14:textId="2BE11B01" w:rsidR="00A37BA0" w:rsidRPr="000F7C62" w:rsidRDefault="000F7C62" w:rsidP="005F2658">
      <w:pPr>
        <w:pStyle w:val="Title"/>
        <w:jc w:val="center"/>
        <w:rPr>
          <w:rFonts w:asciiTheme="majorHAnsi" w:eastAsiaTheme="minorHAnsi" w:hAnsiTheme="majorHAnsi" w:cstheme="majorHAnsi"/>
          <w:color w:val="auto"/>
          <w:spacing w:val="0"/>
          <w:kern w:val="0"/>
          <w:szCs w:val="44"/>
          <w:lang w:val="en-GB"/>
        </w:rPr>
      </w:pPr>
      <w:r w:rsidRPr="000F7C62">
        <w:rPr>
          <w:rFonts w:asciiTheme="majorHAnsi" w:hAnsiTheme="majorHAnsi" w:cstheme="majorHAnsi"/>
          <w:noProof/>
          <w:lang w:val="en-AU" w:eastAsia="en-AU"/>
        </w:rPr>
        <w:drawing>
          <wp:anchor distT="36576" distB="36576" distL="36576" distR="36576" simplePos="0" relativeHeight="251664384" behindDoc="0" locked="0" layoutInCell="1" hidden="0" allowOverlap="1" wp14:anchorId="518E6A88" wp14:editId="5E6D36CA">
            <wp:simplePos x="0" y="0"/>
            <wp:positionH relativeFrom="column">
              <wp:posOffset>0</wp:posOffset>
            </wp:positionH>
            <wp:positionV relativeFrom="paragraph">
              <wp:posOffset>0</wp:posOffset>
            </wp:positionV>
            <wp:extent cx="1287780" cy="1240155"/>
            <wp:effectExtent l="0" t="0" r="0" b="0"/>
            <wp:wrapSquare wrapText="bothSides" distT="36576" distB="36576" distL="36576" distR="36576"/>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87780" cy="1240155"/>
                    </a:xfrm>
                    <a:prstGeom prst="rect">
                      <a:avLst/>
                    </a:prstGeom>
                    <a:ln/>
                  </pic:spPr>
                </pic:pic>
              </a:graphicData>
            </a:graphic>
          </wp:anchor>
        </w:drawing>
      </w:r>
      <w:r w:rsidR="00A37BA0" w:rsidRPr="000F7C62">
        <w:rPr>
          <w:rFonts w:asciiTheme="majorHAnsi" w:eastAsiaTheme="minorHAnsi" w:hAnsiTheme="majorHAnsi" w:cstheme="majorHAnsi"/>
          <w:color w:val="auto"/>
          <w:spacing w:val="0"/>
          <w:kern w:val="0"/>
          <w:szCs w:val="44"/>
          <w:lang w:val="en-GB"/>
        </w:rPr>
        <w:t>202</w:t>
      </w:r>
      <w:r w:rsidR="00DF43AA">
        <w:rPr>
          <w:rFonts w:asciiTheme="majorHAnsi" w:eastAsiaTheme="minorHAnsi" w:hAnsiTheme="majorHAnsi" w:cstheme="majorHAnsi"/>
          <w:color w:val="auto"/>
          <w:spacing w:val="0"/>
          <w:kern w:val="0"/>
          <w:szCs w:val="44"/>
          <w:lang w:val="en-GB"/>
        </w:rPr>
        <w:t>6</w:t>
      </w:r>
      <w:r w:rsidR="00A37BA0" w:rsidRPr="000F7C62">
        <w:rPr>
          <w:rFonts w:asciiTheme="majorHAnsi" w:eastAsiaTheme="minorHAnsi" w:hAnsiTheme="majorHAnsi" w:cstheme="majorHAnsi"/>
          <w:color w:val="auto"/>
          <w:spacing w:val="0"/>
          <w:kern w:val="0"/>
          <w:szCs w:val="44"/>
          <w:lang w:val="en-GB"/>
        </w:rPr>
        <w:t xml:space="preserve"> PARENT PAYMENT POLICY</w:t>
      </w:r>
    </w:p>
    <w:p w14:paraId="63583A9A" w14:textId="77777777" w:rsidR="00A37BA0" w:rsidRPr="000F7C62" w:rsidRDefault="00A37BA0" w:rsidP="005F2658">
      <w:pPr>
        <w:jc w:val="center"/>
        <w:rPr>
          <w:rFonts w:asciiTheme="majorHAnsi" w:hAnsiTheme="majorHAnsi" w:cstheme="majorHAnsi"/>
          <w:b/>
          <w:sz w:val="44"/>
          <w:szCs w:val="44"/>
        </w:rPr>
      </w:pPr>
      <w:r w:rsidRPr="000F7C62">
        <w:rPr>
          <w:rFonts w:asciiTheme="majorHAnsi" w:hAnsiTheme="majorHAnsi" w:cstheme="majorHAnsi"/>
          <w:b/>
          <w:sz w:val="44"/>
          <w:szCs w:val="44"/>
        </w:rPr>
        <w:t>AND IMPLEMENTATION</w:t>
      </w:r>
    </w:p>
    <w:p w14:paraId="3E4775CA" w14:textId="70F9398A" w:rsidR="000F7C62" w:rsidRPr="000F7C62" w:rsidRDefault="000F7C62" w:rsidP="000F7C62">
      <w:pPr>
        <w:pStyle w:val="Heading2"/>
        <w:spacing w:before="0" w:beforeAutospacing="0" w:line="312" w:lineRule="atLeast"/>
        <w:rPr>
          <w:rFonts w:asciiTheme="majorHAnsi" w:hAnsiTheme="majorHAnsi" w:cstheme="majorHAnsi"/>
          <w:b w:val="0"/>
          <w:bCs w:val="0"/>
          <w:color w:val="011A3C"/>
        </w:rPr>
      </w:pPr>
      <w:r w:rsidRPr="000F7C62">
        <w:rPr>
          <w:rFonts w:asciiTheme="majorHAnsi" w:hAnsiTheme="majorHAnsi" w:cstheme="majorHAnsi"/>
          <w:noProof/>
        </w:rPr>
        <w:drawing>
          <wp:anchor distT="0" distB="0" distL="114300" distR="114300" simplePos="0" relativeHeight="251666432" behindDoc="0" locked="0" layoutInCell="1" allowOverlap="1" wp14:anchorId="700E319B" wp14:editId="6B91F8E6">
            <wp:simplePos x="0" y="0"/>
            <wp:positionH relativeFrom="column">
              <wp:posOffset>0</wp:posOffset>
            </wp:positionH>
            <wp:positionV relativeFrom="paragraph">
              <wp:posOffset>437515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p>
    <w:p w14:paraId="3E2E9195" w14:textId="77777777" w:rsidR="000F7C62" w:rsidRPr="000F7C62" w:rsidRDefault="000F7C62" w:rsidP="000F7C62">
      <w:pPr>
        <w:pStyle w:val="Heading1"/>
        <w:rPr>
          <w:rFonts w:cstheme="majorHAnsi"/>
        </w:rPr>
      </w:pPr>
      <w:r w:rsidRPr="000F7C62">
        <w:rPr>
          <w:rFonts w:cstheme="majorHAnsi"/>
        </w:rPr>
        <w:t>Help for non-English speakers</w:t>
      </w:r>
    </w:p>
    <w:p w14:paraId="1B93DD98" w14:textId="77777777" w:rsidR="000F7C62" w:rsidRPr="000F7C62" w:rsidRDefault="000F7C62" w:rsidP="000F7C62">
      <w:pPr>
        <w:jc w:val="both"/>
        <w:rPr>
          <w:rFonts w:asciiTheme="majorHAnsi" w:hAnsiTheme="majorHAnsi" w:cstheme="majorHAnsi"/>
          <w:b/>
          <w:smallCaps/>
          <w:sz w:val="26"/>
          <w:szCs w:val="26"/>
        </w:rPr>
      </w:pPr>
      <w:r w:rsidRPr="000F7C62">
        <w:rPr>
          <w:rFonts w:asciiTheme="majorHAnsi" w:hAnsiTheme="majorHAnsi" w:cstheme="majorHAnsi"/>
          <w:w w:val="105"/>
        </w:rPr>
        <w:t>If you need help to understand the information in this policy, please contact</w:t>
      </w:r>
      <w:bookmarkStart w:id="0" w:name="_Hlk91149306"/>
      <w:r w:rsidRPr="000F7C62">
        <w:rPr>
          <w:rFonts w:asciiTheme="majorHAnsi" w:hAnsiTheme="majorHAnsi" w:cstheme="majorHAnsi"/>
          <w:w w:val="105"/>
        </w:rPr>
        <w:t xml:space="preserve"> </w:t>
      </w:r>
      <w:bookmarkEnd w:id="0"/>
      <w:r w:rsidRPr="000F7C62">
        <w:rPr>
          <w:rFonts w:asciiTheme="majorHAnsi" w:hAnsiTheme="majorHAnsi" w:cstheme="majorHAnsi"/>
          <w:bCs/>
          <w:w w:val="105"/>
        </w:rPr>
        <w:t>Greensborough Primary School on 9435 1496</w:t>
      </w:r>
    </w:p>
    <w:p w14:paraId="703D0BC3" w14:textId="77777777" w:rsidR="000F7C62" w:rsidRPr="000F7C62" w:rsidRDefault="000F7C62" w:rsidP="000F7C62">
      <w:pPr>
        <w:pStyle w:val="Heading2"/>
        <w:spacing w:before="0" w:beforeAutospacing="0" w:line="312" w:lineRule="atLeast"/>
        <w:rPr>
          <w:rFonts w:asciiTheme="majorHAnsi" w:hAnsiTheme="majorHAnsi" w:cstheme="majorHAnsi"/>
          <w:b w:val="0"/>
          <w:bCs w:val="0"/>
          <w:color w:val="011A3C"/>
        </w:rPr>
      </w:pPr>
    </w:p>
    <w:p w14:paraId="0CFCF1F8" w14:textId="12A8C93E" w:rsidR="000F7C62" w:rsidRPr="000F7C62" w:rsidRDefault="000F7C62" w:rsidP="000F7C62">
      <w:pPr>
        <w:pStyle w:val="Heading2"/>
        <w:spacing w:before="0" w:beforeAutospacing="0" w:line="312"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Policy</w:t>
      </w:r>
    </w:p>
    <w:p w14:paraId="5EDB80AC"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This Parent Payments Policy outlines the ways in which schools can request financial contributions from parents and ensures that parent payment practices in Victorian government schools are consistent, transparent and that all students have access to the Curriculum.</w:t>
      </w:r>
    </w:p>
    <w:p w14:paraId="25E42E90" w14:textId="77777777" w:rsidR="000F7C62" w:rsidRPr="000F7C62" w:rsidRDefault="000F7C62" w:rsidP="000F7C62">
      <w:pPr>
        <w:pStyle w:val="Heading2"/>
        <w:spacing w:line="312"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Summary</w:t>
      </w:r>
    </w:p>
    <w:p w14:paraId="3DDB0941" w14:textId="77777777" w:rsidR="000F7C62" w:rsidRPr="000F7C62" w:rsidRDefault="000F7C62" w:rsidP="000F7C62">
      <w:pPr>
        <w:numPr>
          <w:ilvl w:val="0"/>
          <w:numId w:val="21"/>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Schools must provide students with free instruction and ensure students have free access to all items, activities and services that are used by the school to fulfil the requirements of the Curriculum.</w:t>
      </w:r>
    </w:p>
    <w:p w14:paraId="16FECC45" w14:textId="77777777" w:rsidR="000F7C62" w:rsidRPr="000F7C62" w:rsidRDefault="000F7C62" w:rsidP="000F7C62">
      <w:pPr>
        <w:numPr>
          <w:ilvl w:val="0"/>
          <w:numId w:val="21"/>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Schools may ask parents to:</w:t>
      </w:r>
    </w:p>
    <w:p w14:paraId="47EF3BBF" w14:textId="77777777" w:rsidR="000F7C62" w:rsidRPr="000F7C62" w:rsidRDefault="000F7C62" w:rsidP="000F7C62">
      <w:pPr>
        <w:numPr>
          <w:ilvl w:val="1"/>
          <w:numId w:val="21"/>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make voluntary financial contributions towards the cost of schooling under 2 categories: Curriculum Contributions and Other Contributions</w:t>
      </w:r>
    </w:p>
    <w:p w14:paraId="3FD3EF92" w14:textId="77777777" w:rsidR="000F7C62" w:rsidRPr="000F7C62" w:rsidRDefault="000F7C62" w:rsidP="000F7C62">
      <w:pPr>
        <w:numPr>
          <w:ilvl w:val="1"/>
          <w:numId w:val="21"/>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purchase optional Extra-Curricular Items and Activities on a user-pays basis</w:t>
      </w:r>
    </w:p>
    <w:p w14:paraId="409A7E12" w14:textId="77777777" w:rsidR="000F7C62" w:rsidRPr="000F7C62" w:rsidRDefault="000F7C62" w:rsidP="000F7C62">
      <w:pPr>
        <w:numPr>
          <w:ilvl w:val="1"/>
          <w:numId w:val="21"/>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supply or purchase their own educational items for their child to use and to own.</w:t>
      </w:r>
    </w:p>
    <w:p w14:paraId="01E33DB4" w14:textId="77777777" w:rsidR="000F7C62" w:rsidRPr="000F7C62" w:rsidRDefault="000F7C62" w:rsidP="000F7C62">
      <w:pPr>
        <w:numPr>
          <w:ilvl w:val="0"/>
          <w:numId w:val="21"/>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Schools must apply the </w:t>
      </w:r>
      <w:hyperlink r:id="rId10" w:history="1">
        <w:r w:rsidRPr="000F7C62">
          <w:rPr>
            <w:rStyle w:val="rpl-text-label"/>
            <w:rFonts w:asciiTheme="majorHAnsi" w:hAnsiTheme="majorHAnsi" w:cstheme="majorHAnsi"/>
            <w:color w:val="1855BF"/>
          </w:rPr>
          <w:t>Financial Help for Families policy</w:t>
        </w:r>
      </w:hyperlink>
      <w:r w:rsidRPr="000F7C62">
        <w:rPr>
          <w:rFonts w:asciiTheme="majorHAnsi" w:hAnsiTheme="majorHAnsi" w:cstheme="majorHAnsi"/>
          <w:color w:val="011A3C"/>
        </w:rPr>
        <w:t> when implementing the Parent Payments policy.</w:t>
      </w:r>
    </w:p>
    <w:p w14:paraId="05C2C89C" w14:textId="77777777" w:rsidR="000F7C62" w:rsidRPr="000F7C62" w:rsidRDefault="000F7C62" w:rsidP="000F7C62">
      <w:pPr>
        <w:numPr>
          <w:ilvl w:val="0"/>
          <w:numId w:val="21"/>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Schools must follow the requirements on finance and communications set out in the </w:t>
      </w:r>
      <w:hyperlink r:id="rId11" w:history="1">
        <w:r w:rsidRPr="000F7C62">
          <w:rPr>
            <w:rStyle w:val="rpl-text-label"/>
            <w:rFonts w:asciiTheme="majorHAnsi" w:hAnsiTheme="majorHAnsi" w:cstheme="majorHAnsi"/>
            <w:color w:val="1855BF"/>
          </w:rPr>
          <w:t>Guidance tab</w:t>
        </w:r>
      </w:hyperlink>
      <w:r w:rsidRPr="000F7C62">
        <w:rPr>
          <w:rFonts w:asciiTheme="majorHAnsi" w:hAnsiTheme="majorHAnsi" w:cstheme="majorHAnsi"/>
          <w:color w:val="011A3C"/>
        </w:rPr>
        <w:t>.</w:t>
      </w:r>
    </w:p>
    <w:p w14:paraId="1C96AE37" w14:textId="77777777" w:rsidR="000F7C62" w:rsidRPr="000F7C62" w:rsidRDefault="000F7C62" w:rsidP="000F7C62">
      <w:pPr>
        <w:pStyle w:val="Heading2"/>
        <w:spacing w:line="312"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Details</w:t>
      </w:r>
    </w:p>
    <w:p w14:paraId="5BA63E86" w14:textId="77777777" w:rsidR="000F7C62" w:rsidRPr="000F7C62" w:rsidRDefault="000F7C62" w:rsidP="000F7C62">
      <w:pPr>
        <w:pStyle w:val="Heading3"/>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Free instruction</w:t>
      </w:r>
    </w:p>
    <w:p w14:paraId="13B9815F"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All students in Victorian government schools must have free access to instruction that is offered by a school to fulfil the requirements of the Curriculum. This includes the Victorian Curriculum F–10, the Victorian Certificate of Education (VCE), including the VCE Vocational Major and the Victorian Pathways Certificate.</w:t>
      </w:r>
    </w:p>
    <w:p w14:paraId="4EA4DDD9"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lastRenderedPageBreak/>
        <w:t>Free instruction includes teaching staff, administration and provision of facilities in connection with the instruction of the Curriculum, including reasonable adjustments for students with disabilities.</w:t>
      </w:r>
    </w:p>
    <w:p w14:paraId="25DF9A7C"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must ensure that students have free access to items and activities as required for the school’s delivery of the Curriculum. The extent and frequency of access that students require depends on the school’s context and their approach to delivering the Curriculum.</w:t>
      </w:r>
    </w:p>
    <w:p w14:paraId="0E3659EC"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are not required to provide students with items to own, or keep, on a one-to-one basis. However, schools must determine appropriate resourcing to ensure students have access to the relevant items for the duration required to access the Curriculum.</w:t>
      </w:r>
    </w:p>
    <w:p w14:paraId="5624622A"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cannot refuse students instruction in the Curriculum or disadvantage students on the basis of financial contributions and payments not being made.</w:t>
      </w:r>
    </w:p>
    <w:p w14:paraId="4CD6BE46" w14:textId="77777777" w:rsidR="000F7C62" w:rsidRPr="000F7C62" w:rsidRDefault="000F7C62" w:rsidP="000F7C62">
      <w:pPr>
        <w:pStyle w:val="Heading3"/>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Principles of voluntary financial contributions</w:t>
      </w:r>
    </w:p>
    <w:p w14:paraId="654E552D"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seeking a parent payment must adhere to the following principles of voluntary financial contributions:</w:t>
      </w:r>
    </w:p>
    <w:p w14:paraId="09267FB6" w14:textId="77777777" w:rsidR="000F7C62" w:rsidRPr="000F7C62" w:rsidRDefault="000F7C62" w:rsidP="000F7C62">
      <w:pPr>
        <w:numPr>
          <w:ilvl w:val="0"/>
          <w:numId w:val="22"/>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the school council should clearly explain how contributions will be spent, when making a request for a contribution</w:t>
      </w:r>
    </w:p>
    <w:p w14:paraId="24FE0CDC" w14:textId="77777777" w:rsidR="000F7C62" w:rsidRPr="000F7C62" w:rsidRDefault="000F7C62" w:rsidP="000F7C62">
      <w:pPr>
        <w:numPr>
          <w:ilvl w:val="0"/>
          <w:numId w:val="22"/>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each contribution is to be voluntary and obtained without coercion or harassment</w:t>
      </w:r>
    </w:p>
    <w:p w14:paraId="4140200D" w14:textId="77777777" w:rsidR="000F7C62" w:rsidRPr="000F7C62" w:rsidRDefault="000F7C62" w:rsidP="000F7C62">
      <w:pPr>
        <w:numPr>
          <w:ilvl w:val="0"/>
          <w:numId w:val="22"/>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a student at the school is not to be refused instruction in the Curriculum because their parents do not make a contribution</w:t>
      </w:r>
    </w:p>
    <w:p w14:paraId="541A5B2D" w14:textId="77777777" w:rsidR="000F7C62" w:rsidRPr="000F7C62" w:rsidRDefault="000F7C62" w:rsidP="000F7C62">
      <w:pPr>
        <w:numPr>
          <w:ilvl w:val="0"/>
          <w:numId w:val="22"/>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a student is not to be approached, coerced or harassed for contributions</w:t>
      </w:r>
    </w:p>
    <w:p w14:paraId="1228BFFE" w14:textId="77777777" w:rsidR="000F7C62" w:rsidRPr="000F7C62" w:rsidRDefault="000F7C62" w:rsidP="000F7C62">
      <w:pPr>
        <w:numPr>
          <w:ilvl w:val="0"/>
          <w:numId w:val="22"/>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unless explicit consent to have contributions recognised is provided, any record of contributions is confidential, as is any decision by a parent not to make a financial contribution.</w:t>
      </w:r>
    </w:p>
    <w:p w14:paraId="405A234E" w14:textId="77777777" w:rsidR="000F7C62" w:rsidRPr="000F7C62" w:rsidRDefault="000F7C62" w:rsidP="000F7C62">
      <w:pPr>
        <w:pStyle w:val="Heading3"/>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Parent payment categories</w:t>
      </w:r>
    </w:p>
    <w:p w14:paraId="5D092B5F"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 councils may ask parents to make voluntary financial contributions and payments to the school under the following categories.</w:t>
      </w:r>
    </w:p>
    <w:p w14:paraId="43D1B2A7" w14:textId="77777777" w:rsidR="000F7C62" w:rsidRPr="000F7C62" w:rsidRDefault="000F7C62" w:rsidP="000F7C62">
      <w:pPr>
        <w:pStyle w:val="Heading4"/>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Curriculum Contributions</w:t>
      </w:r>
    </w:p>
    <w:p w14:paraId="5EBF9405"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Curriculum Contributions are voluntary financial contributions for curriculum items and activities which the school deems necessary for students to learn the Curriculum. As each school delivers the Curriculum based on their own local context, it is at a school’s discretion to determine whether an item or activity is necessary for delivering the Curriculum. Schools must be able to justify why an item or activity is necessary to the school’s delivery of the Curriculum.</w:t>
      </w:r>
    </w:p>
    <w:p w14:paraId="769E7E79"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cannot refuse students instruction in the Curriculum or deny student access to items or activities on the basis of Curriculum Contributions not being made. Each student must have the same access to curriculum items or activities regardless of whether a student’s parent has made a Curriculum Contribution.</w:t>
      </w:r>
    </w:p>
    <w:p w14:paraId="3966CF0F"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lastRenderedPageBreak/>
        <w:t>Schools must provide a clear description of the item or activity when requesting Curriculum Contributions and allocate funds for the purposes for which they were requested. Schools do not need to itemise each individual item when requesting Curriculum Contributions.</w:t>
      </w:r>
    </w:p>
    <w:p w14:paraId="382249E4" w14:textId="77777777" w:rsidR="000F7C62" w:rsidRPr="000F7C62" w:rsidRDefault="000F7C62" w:rsidP="000F7C62">
      <w:pPr>
        <w:pStyle w:val="Heading4"/>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Other Contributions</w:t>
      </w:r>
    </w:p>
    <w:p w14:paraId="167988B2"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Other Contributions are voluntary financial contributions for non-curriculum items and activities that relate to the school’s functions and objectives.</w:t>
      </w:r>
    </w:p>
    <w:p w14:paraId="4F7DD879"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cannot refuse students instruction in the Curriculum or disadvantage them in any way on the basis of Other Contributions not being made.</w:t>
      </w:r>
    </w:p>
    <w:p w14:paraId="29E6828F"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Other Contributions can be requested for a broad area of school need or a specific, clearly described purpose that relates to the school’s functions and objectives. Schools must allocate funds raised from Other Contributions for the purposes for which they were requested.</w:t>
      </w:r>
    </w:p>
    <w:p w14:paraId="0B2B714F" w14:textId="77777777" w:rsidR="000F7C62" w:rsidRPr="000F7C62" w:rsidRDefault="000F7C62" w:rsidP="000F7C62">
      <w:pPr>
        <w:pStyle w:val="Heading4"/>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Extra-Curricular Items and Activities</w:t>
      </w:r>
    </w:p>
    <w:p w14:paraId="1CA69082"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Extra-Curricular Items and Activities are items and activities that enhance or broaden the schooling experience of students and are additional to those provided by the school at no cost to deliver the Curriculum. As each school delivers the Curriculum based on their own local context, it is at a school’s discretion to determine whether an item or activity is extra-curricular.</w:t>
      </w:r>
    </w:p>
    <w:p w14:paraId="3D029688"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An item or activity can be provided on a user-pays basis and categorised in Extra-Curricular Items and Activities if it is not required for students to meet Curriculum outcomes or if there is a free standard activity available for students to participate in the Curriculum. Items or activities provided on a user-pays basis can still support curriculum-based learning; however, schools must be able to deliver the standard curriculum requirements to a student who does not participate.</w:t>
      </w:r>
    </w:p>
    <w:p w14:paraId="2755A7F0"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do not need to provide students with access to Extra-Curricular Items and Activities if payment is not received. However, schools cannot refuse students instruction in the Curriculum if payment is not received.</w:t>
      </w:r>
    </w:p>
    <w:p w14:paraId="1C18756F"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Extra-Curricular Items and Activities must be specific, clearly described and identified as optional.</w:t>
      </w:r>
    </w:p>
    <w:p w14:paraId="715DF598"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Extra-Curricular Items and Activities can include optional:</w:t>
      </w:r>
    </w:p>
    <w:p w14:paraId="3CA3B2FE" w14:textId="77777777" w:rsidR="000F7C62" w:rsidRPr="000F7C62" w:rsidRDefault="000F7C62" w:rsidP="000F7C62">
      <w:pPr>
        <w:numPr>
          <w:ilvl w:val="0"/>
          <w:numId w:val="23"/>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alternative forms of instruction</w:t>
      </w:r>
    </w:p>
    <w:p w14:paraId="6F168DF7" w14:textId="77777777" w:rsidR="000F7C62" w:rsidRPr="000F7C62" w:rsidRDefault="000F7C62" w:rsidP="000F7C62">
      <w:pPr>
        <w:numPr>
          <w:ilvl w:val="0"/>
          <w:numId w:val="23"/>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non-curriculum-based school events (graduation)</w:t>
      </w:r>
    </w:p>
    <w:p w14:paraId="4F5138D0" w14:textId="77777777" w:rsidR="000F7C62" w:rsidRPr="000F7C62" w:rsidRDefault="000F7C62" w:rsidP="000F7C62">
      <w:pPr>
        <w:numPr>
          <w:ilvl w:val="0"/>
          <w:numId w:val="23"/>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non-curriculum items (school magazines, yearbooks)</w:t>
      </w:r>
    </w:p>
    <w:p w14:paraId="79FD559B" w14:textId="77777777" w:rsidR="000F7C62" w:rsidRPr="000F7C62" w:rsidRDefault="000F7C62" w:rsidP="000F7C62">
      <w:pPr>
        <w:numPr>
          <w:ilvl w:val="0"/>
          <w:numId w:val="23"/>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excursions and camps</w:t>
      </w:r>
    </w:p>
    <w:p w14:paraId="06CA178B" w14:textId="77777777" w:rsidR="000F7C62" w:rsidRPr="000F7C62" w:rsidRDefault="000F7C62" w:rsidP="000F7C62">
      <w:pPr>
        <w:numPr>
          <w:ilvl w:val="0"/>
          <w:numId w:val="23"/>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sporting programs</w:t>
      </w:r>
    </w:p>
    <w:p w14:paraId="11F5E945" w14:textId="77777777" w:rsidR="000F7C62" w:rsidRPr="000F7C62" w:rsidRDefault="000F7C62" w:rsidP="000F7C62">
      <w:pPr>
        <w:numPr>
          <w:ilvl w:val="0"/>
          <w:numId w:val="23"/>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music programs</w:t>
      </w:r>
    </w:p>
    <w:p w14:paraId="2202B145" w14:textId="77777777" w:rsidR="000F7C62" w:rsidRPr="000F7C62" w:rsidRDefault="000F7C62" w:rsidP="000F7C62">
      <w:pPr>
        <w:numPr>
          <w:ilvl w:val="0"/>
          <w:numId w:val="23"/>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out of school hours care</w:t>
      </w:r>
    </w:p>
    <w:p w14:paraId="5C575631" w14:textId="77777777" w:rsidR="000F7C62" w:rsidRPr="000F7C62" w:rsidRDefault="000F7C62" w:rsidP="000F7C62">
      <w:pPr>
        <w:numPr>
          <w:ilvl w:val="0"/>
          <w:numId w:val="23"/>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lastRenderedPageBreak/>
        <w:t>items and materials that are linked to the Curriculum but are additional to or outside what the school provides for free to deliver the Curriculum.</w:t>
      </w:r>
    </w:p>
    <w:p w14:paraId="1D928380"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Extra-Curricular Items and Activities must not include:</w:t>
      </w:r>
    </w:p>
    <w:p w14:paraId="18CB75FB" w14:textId="77777777" w:rsidR="000F7C62" w:rsidRPr="000F7C62" w:rsidRDefault="000F7C62" w:rsidP="000F7C62">
      <w:pPr>
        <w:numPr>
          <w:ilvl w:val="0"/>
          <w:numId w:val="24"/>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items, activities and services that are required to fulfil the Curriculum</w:t>
      </w:r>
    </w:p>
    <w:p w14:paraId="5079E5AA" w14:textId="77777777" w:rsidR="000F7C62" w:rsidRPr="000F7C62" w:rsidRDefault="000F7C62" w:rsidP="000F7C62">
      <w:pPr>
        <w:numPr>
          <w:ilvl w:val="0"/>
          <w:numId w:val="24"/>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educational items such as headphones, stationery packs, digital devices, textbooks (including digital textbooks), calculators</w:t>
      </w:r>
    </w:p>
    <w:p w14:paraId="6F6C8F89" w14:textId="77777777" w:rsidR="000F7C62" w:rsidRPr="000F7C62" w:rsidRDefault="000F7C62" w:rsidP="000F7C62">
      <w:pPr>
        <w:numPr>
          <w:ilvl w:val="0"/>
          <w:numId w:val="24"/>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general enrolment fees</w:t>
      </w:r>
    </w:p>
    <w:p w14:paraId="32CB6060" w14:textId="77777777" w:rsidR="000F7C62" w:rsidRPr="000F7C62" w:rsidRDefault="000F7C62" w:rsidP="000F7C62">
      <w:pPr>
        <w:numPr>
          <w:ilvl w:val="0"/>
          <w:numId w:val="24"/>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subject enrolment fees (including VET courses and subjects defined by the school as ‘elective’)</w:t>
      </w:r>
    </w:p>
    <w:p w14:paraId="3F3D020A" w14:textId="77777777" w:rsidR="000F7C62" w:rsidRPr="000F7C62" w:rsidRDefault="000F7C62" w:rsidP="000F7C62">
      <w:pPr>
        <w:numPr>
          <w:ilvl w:val="0"/>
          <w:numId w:val="24"/>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the hire, lease, or lease-to-own of school owned digital devices.</w:t>
      </w:r>
    </w:p>
    <w:p w14:paraId="22841832"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should ensure the costs of Extra-Curricular Items and Activities are kept to a minimum and made affordable for families. Schools must apply the </w:t>
      </w:r>
      <w:hyperlink r:id="rId12" w:history="1">
        <w:r w:rsidRPr="000F7C62">
          <w:rPr>
            <w:rStyle w:val="rpl-text-label"/>
            <w:rFonts w:asciiTheme="majorHAnsi" w:hAnsiTheme="majorHAnsi" w:cstheme="majorHAnsi"/>
            <w:color w:val="1855BF"/>
          </w:rPr>
          <w:t>Financial Help for Families policy</w:t>
        </w:r>
      </w:hyperlink>
      <w:r w:rsidRPr="000F7C62">
        <w:rPr>
          <w:rFonts w:asciiTheme="majorHAnsi" w:hAnsiTheme="majorHAnsi" w:cstheme="majorHAnsi"/>
          <w:color w:val="011A3C"/>
        </w:rPr>
        <w:t> in relation to Extra-Curricular Items and Activities to support families experiencing financial hardship.</w:t>
      </w:r>
    </w:p>
    <w:p w14:paraId="40A0F27B" w14:textId="77777777" w:rsidR="000F7C62" w:rsidRPr="000F7C62" w:rsidRDefault="000F7C62" w:rsidP="000F7C62">
      <w:pPr>
        <w:pStyle w:val="Heading3"/>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Educational items for students to own</w:t>
      </w:r>
    </w:p>
    <w:p w14:paraId="79833AFC"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can invite parents to bring from home, purchase, or lease educational items directly from third parties instead of using what is made available for free by the school. Educational items for students to own include items that have a specific curriculum purpose and for which students take individual possession. When inviting parents to purchase or lease educational items to own directly from a third-party provider, the school may include a list of recommended items or specifications.</w:t>
      </w:r>
    </w:p>
    <w:p w14:paraId="3A7AE1BD"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must not communicate to families that parents must purchase educational items for students to own from third parties. If a parent does not provide or purchase educational items, the school must ensure that the student has free access to items as required for the school’s delivery of the Curriculum. Schools are not required to provide students with items to own, or keep, on an individual basis. However, schools must determine appropriate resourcing to ensure students have access to relevant items for the duration required to access the Curriculum.</w:t>
      </w:r>
    </w:p>
    <w:p w14:paraId="1732E3CF"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Educational items for students to own can include:</w:t>
      </w:r>
    </w:p>
    <w:p w14:paraId="165A2F01" w14:textId="77777777" w:rsidR="000F7C62" w:rsidRPr="000F7C62" w:rsidRDefault="000F7C62" w:rsidP="000F7C62">
      <w:pPr>
        <w:numPr>
          <w:ilvl w:val="0"/>
          <w:numId w:val="25"/>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textbooks (paper or digital versions)</w:t>
      </w:r>
    </w:p>
    <w:p w14:paraId="1CC9F2B0" w14:textId="77777777" w:rsidR="000F7C62" w:rsidRPr="000F7C62" w:rsidRDefault="000F7C62" w:rsidP="000F7C62">
      <w:pPr>
        <w:numPr>
          <w:ilvl w:val="0"/>
          <w:numId w:val="25"/>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stationery</w:t>
      </w:r>
    </w:p>
    <w:p w14:paraId="0A6FFBB2" w14:textId="77777777" w:rsidR="000F7C62" w:rsidRPr="000F7C62" w:rsidRDefault="000F7C62" w:rsidP="000F7C62">
      <w:pPr>
        <w:numPr>
          <w:ilvl w:val="0"/>
          <w:numId w:val="25"/>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calculators</w:t>
      </w:r>
    </w:p>
    <w:p w14:paraId="05178028" w14:textId="77777777" w:rsidR="000F7C62" w:rsidRPr="000F7C62" w:rsidRDefault="000F7C62" w:rsidP="000F7C62">
      <w:pPr>
        <w:numPr>
          <w:ilvl w:val="0"/>
          <w:numId w:val="25"/>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digital devices.</w:t>
      </w:r>
    </w:p>
    <w:p w14:paraId="719C439D"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Educational items for students to own must not include:</w:t>
      </w:r>
    </w:p>
    <w:p w14:paraId="12DACA03" w14:textId="77777777" w:rsidR="000F7C62" w:rsidRPr="000F7C62" w:rsidRDefault="000F7C62" w:rsidP="000F7C62">
      <w:pPr>
        <w:numPr>
          <w:ilvl w:val="0"/>
          <w:numId w:val="26"/>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items not directly related to curriculum-based learning</w:t>
      </w:r>
    </w:p>
    <w:p w14:paraId="6E847ED3" w14:textId="77777777" w:rsidR="000F7C62" w:rsidRPr="000F7C62" w:rsidRDefault="000F7C62" w:rsidP="000F7C62">
      <w:pPr>
        <w:numPr>
          <w:ilvl w:val="0"/>
          <w:numId w:val="26"/>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classroom consumables (including class materials such as food ingredients or art supplies that contribute to finished products that students take home)</w:t>
      </w:r>
    </w:p>
    <w:p w14:paraId="6C024528" w14:textId="77777777" w:rsidR="000F7C62" w:rsidRPr="000F7C62" w:rsidRDefault="000F7C62" w:rsidP="000F7C62">
      <w:pPr>
        <w:numPr>
          <w:ilvl w:val="0"/>
          <w:numId w:val="26"/>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items that students do not take individual possession of (for example, class sets of devices, sports equipment, whole-school subscriptions)</w:t>
      </w:r>
    </w:p>
    <w:p w14:paraId="2E240DF0" w14:textId="77777777" w:rsidR="000F7C62" w:rsidRPr="000F7C62" w:rsidRDefault="000F7C62" w:rsidP="000F7C62">
      <w:pPr>
        <w:numPr>
          <w:ilvl w:val="0"/>
          <w:numId w:val="26"/>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lastRenderedPageBreak/>
        <w:t>items that are developed and produced by the school (for example, school-developed workbooks, school-developed exam papers)</w:t>
      </w:r>
    </w:p>
    <w:p w14:paraId="38377426" w14:textId="77777777" w:rsidR="000F7C62" w:rsidRPr="000F7C62" w:rsidRDefault="000F7C62" w:rsidP="000F7C62">
      <w:pPr>
        <w:numPr>
          <w:ilvl w:val="0"/>
          <w:numId w:val="26"/>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activities or services (for example, camps, excursions, events, device repair costs).</w:t>
      </w:r>
    </w:p>
    <w:p w14:paraId="426FA5FA" w14:textId="77777777" w:rsidR="000F7C62" w:rsidRPr="000F7C62" w:rsidRDefault="000F7C62" w:rsidP="000F7C62">
      <w:pPr>
        <w:pStyle w:val="Heading3"/>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Financial help for families</w:t>
      </w:r>
    </w:p>
    <w:p w14:paraId="503F4F4C"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While all contributions are voluntary, schools must prepare for and support families experiencing financial hardship to facilitate student participation in the full school program (for example, purchasing Extra-Curricular Items and Activities and educational items for students to own).</w:t>
      </w:r>
    </w:p>
    <w:p w14:paraId="27D1EA88"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must:</w:t>
      </w:r>
    </w:p>
    <w:p w14:paraId="3B1F27AB" w14:textId="77777777" w:rsidR="000F7C62" w:rsidRPr="000F7C62" w:rsidRDefault="000F7C62" w:rsidP="000F7C62">
      <w:pPr>
        <w:numPr>
          <w:ilvl w:val="0"/>
          <w:numId w:val="27"/>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apply the Financial Help for Families policy to parent payment arrangements</w:t>
      </w:r>
    </w:p>
    <w:p w14:paraId="354190CE" w14:textId="77777777" w:rsidR="000F7C62" w:rsidRPr="000F7C62" w:rsidRDefault="000F7C62" w:rsidP="000F7C62">
      <w:pPr>
        <w:numPr>
          <w:ilvl w:val="0"/>
          <w:numId w:val="27"/>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nominate a parent payment contact person(s) to support families with financial help arrangements and support programs.</w:t>
      </w:r>
    </w:p>
    <w:p w14:paraId="2F5D05D4"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Refer to </w:t>
      </w:r>
      <w:hyperlink r:id="rId13" w:history="1">
        <w:r w:rsidRPr="000F7C62">
          <w:rPr>
            <w:rStyle w:val="rpl-text-label"/>
            <w:rFonts w:asciiTheme="majorHAnsi" w:hAnsiTheme="majorHAnsi" w:cstheme="majorHAnsi"/>
            <w:color w:val="1855BF"/>
          </w:rPr>
          <w:t>Financial Help for Families</w:t>
        </w:r>
      </w:hyperlink>
      <w:r w:rsidRPr="000F7C62">
        <w:rPr>
          <w:rFonts w:asciiTheme="majorHAnsi" w:hAnsiTheme="majorHAnsi" w:cstheme="majorHAnsi"/>
          <w:color w:val="011A3C"/>
        </w:rPr>
        <w:t> for further information.</w:t>
      </w:r>
    </w:p>
    <w:p w14:paraId="1EB56B70" w14:textId="77777777" w:rsidR="000F7C62" w:rsidRPr="000F7C62" w:rsidRDefault="000F7C62" w:rsidP="000F7C62">
      <w:pPr>
        <w:pStyle w:val="Heading3"/>
        <w:spacing w:line="288"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Implementing the policy in schools</w:t>
      </w:r>
    </w:p>
    <w:p w14:paraId="30E75DDD"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develop their parent payment arrangements to suit the contextual needs and aspirations of their school community while ensuring their arrangements remain in alignment with this policy.</w:t>
      </w:r>
    </w:p>
    <w:p w14:paraId="3708A746"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parent payment arrangements must:</w:t>
      </w:r>
    </w:p>
    <w:p w14:paraId="620606EA" w14:textId="77777777" w:rsidR="000F7C62" w:rsidRPr="000F7C62" w:rsidRDefault="000F7C62" w:rsidP="000F7C62">
      <w:pPr>
        <w:numPr>
          <w:ilvl w:val="0"/>
          <w:numId w:val="28"/>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support the functions and objectives of the school, including the enhancement of student learning, access, equity, inclusion and wellbeing</w:t>
      </w:r>
    </w:p>
    <w:p w14:paraId="1C441AB9" w14:textId="77777777" w:rsidR="000F7C62" w:rsidRPr="000F7C62" w:rsidRDefault="000F7C62" w:rsidP="000F7C62">
      <w:pPr>
        <w:numPr>
          <w:ilvl w:val="0"/>
          <w:numId w:val="28"/>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ensure costs to parents are kept to a minimum, affordable for families and proportionate to the needs of the school</w:t>
      </w:r>
    </w:p>
    <w:p w14:paraId="7BC1EB44" w14:textId="77777777" w:rsidR="000F7C62" w:rsidRPr="000F7C62" w:rsidRDefault="000F7C62" w:rsidP="000F7C62">
      <w:pPr>
        <w:numPr>
          <w:ilvl w:val="0"/>
          <w:numId w:val="28"/>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follow the finance requirements set out in the guidance</w:t>
      </w:r>
    </w:p>
    <w:p w14:paraId="596B9B85" w14:textId="77777777" w:rsidR="000F7C62" w:rsidRPr="000F7C62" w:rsidRDefault="000F7C62" w:rsidP="000F7C62">
      <w:pPr>
        <w:numPr>
          <w:ilvl w:val="0"/>
          <w:numId w:val="28"/>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follow the communication requirements set out in the guidance</w:t>
      </w:r>
    </w:p>
    <w:p w14:paraId="103A1510" w14:textId="77777777" w:rsidR="000F7C62" w:rsidRPr="000F7C62" w:rsidRDefault="000F7C62" w:rsidP="000F7C62">
      <w:pPr>
        <w:numPr>
          <w:ilvl w:val="0"/>
          <w:numId w:val="28"/>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use the templates provided by the department to create and communicate their parent payment arrangements</w:t>
      </w:r>
    </w:p>
    <w:p w14:paraId="1F46AED4" w14:textId="77777777" w:rsidR="000F7C62" w:rsidRPr="000F7C62" w:rsidRDefault="000F7C62" w:rsidP="000F7C62">
      <w:pPr>
        <w:numPr>
          <w:ilvl w:val="0"/>
          <w:numId w:val="28"/>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follow all monitoring and compliance requirements as directed by the department.</w:t>
      </w:r>
    </w:p>
    <w:p w14:paraId="75ADAE57"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School’s must not:</w:t>
      </w:r>
    </w:p>
    <w:p w14:paraId="230629B5" w14:textId="77777777" w:rsidR="000F7C62" w:rsidRPr="000F7C62" w:rsidRDefault="000F7C62" w:rsidP="000F7C62">
      <w:pPr>
        <w:numPr>
          <w:ilvl w:val="0"/>
          <w:numId w:val="29"/>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have parent payment arrangements that are inconsistent with the above requirements</w:t>
      </w:r>
    </w:p>
    <w:p w14:paraId="3E7AC006" w14:textId="77777777" w:rsidR="000F7C62" w:rsidRPr="000F7C62" w:rsidRDefault="000F7C62" w:rsidP="000F7C62">
      <w:pPr>
        <w:numPr>
          <w:ilvl w:val="0"/>
          <w:numId w:val="29"/>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undertake debt recovery activities for any payments or contributions</w:t>
      </w:r>
    </w:p>
    <w:p w14:paraId="062573A9" w14:textId="77777777" w:rsidR="000F7C62" w:rsidRPr="000F7C62" w:rsidRDefault="000F7C62" w:rsidP="000F7C62">
      <w:pPr>
        <w:numPr>
          <w:ilvl w:val="0"/>
          <w:numId w:val="29"/>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have a localised Parent Payments policy</w:t>
      </w:r>
    </w:p>
    <w:p w14:paraId="65D2C6D3" w14:textId="77777777" w:rsidR="000F7C62" w:rsidRPr="000F7C62" w:rsidRDefault="000F7C62" w:rsidP="000F7C62">
      <w:pPr>
        <w:numPr>
          <w:ilvl w:val="0"/>
          <w:numId w:val="29"/>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use terms, such as fees, charges or levies, which suggest or communicate that contributions are compulsory</w:t>
      </w:r>
    </w:p>
    <w:p w14:paraId="622281D7" w14:textId="77777777" w:rsidR="000F7C62" w:rsidRPr="000F7C62" w:rsidRDefault="000F7C62" w:rsidP="000F7C62">
      <w:pPr>
        <w:numPr>
          <w:ilvl w:val="0"/>
          <w:numId w:val="29"/>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have parent payment arrangements that request payments for:</w:t>
      </w:r>
    </w:p>
    <w:p w14:paraId="60DBF23D" w14:textId="77777777" w:rsidR="000F7C62" w:rsidRPr="000F7C62" w:rsidRDefault="000F7C62" w:rsidP="000F7C62">
      <w:pPr>
        <w:numPr>
          <w:ilvl w:val="1"/>
          <w:numId w:val="29"/>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teacher professional learning</w:t>
      </w:r>
    </w:p>
    <w:p w14:paraId="70E905E5" w14:textId="77777777" w:rsidR="000F7C62" w:rsidRPr="000F7C62" w:rsidRDefault="000F7C62" w:rsidP="000F7C62">
      <w:pPr>
        <w:numPr>
          <w:ilvl w:val="1"/>
          <w:numId w:val="29"/>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provision of gifts, benefits or hospitality to school staff or school council members</w:t>
      </w:r>
    </w:p>
    <w:p w14:paraId="36940612" w14:textId="77777777" w:rsidR="000F7C62" w:rsidRPr="000F7C62" w:rsidRDefault="000F7C62" w:rsidP="000F7C62">
      <w:pPr>
        <w:numPr>
          <w:ilvl w:val="1"/>
          <w:numId w:val="29"/>
        </w:numPr>
        <w:spacing w:before="100" w:beforeAutospacing="1" w:after="100" w:afterAutospacing="1" w:line="240" w:lineRule="auto"/>
        <w:rPr>
          <w:rFonts w:asciiTheme="majorHAnsi" w:hAnsiTheme="majorHAnsi" w:cstheme="majorHAnsi"/>
          <w:color w:val="011A3C"/>
        </w:rPr>
      </w:pPr>
      <w:r w:rsidRPr="000F7C62">
        <w:rPr>
          <w:rFonts w:asciiTheme="majorHAnsi" w:hAnsiTheme="majorHAnsi" w:cstheme="majorHAnsi"/>
          <w:color w:val="011A3C"/>
        </w:rPr>
        <w:t>items or activities that schools receive full funding for such as electricity, standard internet access and department-provided administrative software.</w:t>
      </w:r>
    </w:p>
    <w:p w14:paraId="67B9BF52" w14:textId="77777777" w:rsidR="000F7C62" w:rsidRPr="000F7C62" w:rsidRDefault="000F7C62" w:rsidP="000F7C62">
      <w:pPr>
        <w:pStyle w:val="Heading2"/>
        <w:spacing w:line="312"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lastRenderedPageBreak/>
        <w:t>Related policies</w:t>
      </w:r>
    </w:p>
    <w:p w14:paraId="5BEDA460"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14" w:history="1">
        <w:r w:rsidRPr="000F7C62">
          <w:rPr>
            <w:rStyle w:val="rpl-text-label"/>
            <w:rFonts w:asciiTheme="majorHAnsi" w:hAnsiTheme="majorHAnsi" w:cstheme="majorHAnsi"/>
            <w:color w:val="1855BF"/>
          </w:rPr>
          <w:t>Digital Learning in Schools</w:t>
        </w:r>
      </w:hyperlink>
    </w:p>
    <w:p w14:paraId="46C7CCD1"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15" w:history="1">
        <w:r w:rsidRPr="000F7C62">
          <w:rPr>
            <w:rStyle w:val="rpl-text-label"/>
            <w:rFonts w:asciiTheme="majorHAnsi" w:hAnsiTheme="majorHAnsi" w:cstheme="majorHAnsi"/>
            <w:color w:val="1855BF"/>
          </w:rPr>
          <w:t>Finance Manual – Financial Management for Schools</w:t>
        </w:r>
      </w:hyperlink>
    </w:p>
    <w:p w14:paraId="7A0954E0"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16" w:history="1">
        <w:r w:rsidRPr="000F7C62">
          <w:rPr>
            <w:rStyle w:val="rpl-text-label"/>
            <w:rFonts w:asciiTheme="majorHAnsi" w:hAnsiTheme="majorHAnsi" w:cstheme="majorHAnsi"/>
            <w:color w:val="1855BF"/>
          </w:rPr>
          <w:t>Financial Help for Families</w:t>
        </w:r>
      </w:hyperlink>
    </w:p>
    <w:p w14:paraId="530A053E"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17" w:history="1">
        <w:r w:rsidRPr="000F7C62">
          <w:rPr>
            <w:rStyle w:val="rpl-text-label"/>
            <w:rFonts w:asciiTheme="majorHAnsi" w:hAnsiTheme="majorHAnsi" w:cstheme="majorHAnsi"/>
            <w:color w:val="1855BF"/>
          </w:rPr>
          <w:t>International Student Program</w:t>
        </w:r>
      </w:hyperlink>
    </w:p>
    <w:p w14:paraId="4277FCB5"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18" w:history="1">
        <w:r w:rsidRPr="000F7C62">
          <w:rPr>
            <w:rStyle w:val="rpl-text-label"/>
            <w:rFonts w:asciiTheme="majorHAnsi" w:hAnsiTheme="majorHAnsi" w:cstheme="majorHAnsi"/>
            <w:color w:val="1855BF"/>
          </w:rPr>
          <w:t>Outside School Hours Care – Decision Making Regarding the Provision of OSHC</w:t>
        </w:r>
      </w:hyperlink>
    </w:p>
    <w:p w14:paraId="102675C9"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19" w:history="1">
        <w:r w:rsidRPr="000F7C62">
          <w:rPr>
            <w:rStyle w:val="rpl-text-label"/>
            <w:rFonts w:asciiTheme="majorHAnsi" w:hAnsiTheme="majorHAnsi" w:cstheme="majorHAnsi"/>
            <w:color w:val="1855BF"/>
          </w:rPr>
          <w:t>Philanthropic Partnerships</w:t>
        </w:r>
      </w:hyperlink>
    </w:p>
    <w:p w14:paraId="2E81652E"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20" w:history="1">
        <w:r w:rsidRPr="000F7C62">
          <w:rPr>
            <w:rStyle w:val="rpl-text-label"/>
            <w:rFonts w:asciiTheme="majorHAnsi" w:hAnsiTheme="majorHAnsi" w:cstheme="majorHAnsi"/>
            <w:color w:val="1855BF"/>
          </w:rPr>
          <w:t>School Council – Powers and Functions</w:t>
        </w:r>
      </w:hyperlink>
    </w:p>
    <w:p w14:paraId="3513624A"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21" w:history="1">
        <w:r w:rsidRPr="000F7C62">
          <w:rPr>
            <w:rStyle w:val="rpl-text-label"/>
            <w:rFonts w:asciiTheme="majorHAnsi" w:hAnsiTheme="majorHAnsi" w:cstheme="majorHAnsi"/>
            <w:color w:val="1855BF"/>
          </w:rPr>
          <w:t>Sponsorship</w:t>
        </w:r>
      </w:hyperlink>
    </w:p>
    <w:p w14:paraId="43AE7CC9"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22" w:history="1">
        <w:r w:rsidRPr="000F7C62">
          <w:rPr>
            <w:rStyle w:val="rpl-text-label"/>
            <w:rFonts w:asciiTheme="majorHAnsi" w:hAnsiTheme="majorHAnsi" w:cstheme="majorHAnsi"/>
            <w:color w:val="1855BF"/>
          </w:rPr>
          <w:t>Student Dress Code</w:t>
        </w:r>
      </w:hyperlink>
    </w:p>
    <w:p w14:paraId="17F604F0" w14:textId="77777777" w:rsidR="000F7C62" w:rsidRPr="000F7C62" w:rsidRDefault="000F7C62" w:rsidP="000F7C62">
      <w:pPr>
        <w:numPr>
          <w:ilvl w:val="0"/>
          <w:numId w:val="30"/>
        </w:numPr>
        <w:spacing w:before="100" w:beforeAutospacing="1" w:after="100" w:afterAutospacing="1" w:line="240" w:lineRule="auto"/>
        <w:rPr>
          <w:rFonts w:asciiTheme="majorHAnsi" w:hAnsiTheme="majorHAnsi" w:cstheme="majorHAnsi"/>
          <w:color w:val="011A3C"/>
        </w:rPr>
      </w:pPr>
      <w:hyperlink r:id="rId23" w:history="1">
        <w:r w:rsidRPr="000F7C62">
          <w:rPr>
            <w:rStyle w:val="rpl-text-label"/>
            <w:rFonts w:asciiTheme="majorHAnsi" w:hAnsiTheme="majorHAnsi" w:cstheme="majorHAnsi"/>
            <w:color w:val="1855BF"/>
          </w:rPr>
          <w:t>Vocational Education and Training (VET) Delivered to Secondary Students</w:t>
        </w:r>
      </w:hyperlink>
    </w:p>
    <w:p w14:paraId="54281D77" w14:textId="77777777" w:rsidR="000F7C62" w:rsidRPr="000F7C62" w:rsidRDefault="000F7C62" w:rsidP="000F7C62">
      <w:pPr>
        <w:pStyle w:val="Heading2"/>
        <w:spacing w:line="312"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Relevant legislation</w:t>
      </w:r>
    </w:p>
    <w:p w14:paraId="21FF3380" w14:textId="77777777" w:rsidR="000F7C62" w:rsidRPr="000F7C62" w:rsidRDefault="000F7C62" w:rsidP="000F7C62">
      <w:pPr>
        <w:numPr>
          <w:ilvl w:val="0"/>
          <w:numId w:val="31"/>
        </w:numPr>
        <w:spacing w:before="100" w:beforeAutospacing="1" w:after="100" w:afterAutospacing="1" w:line="240" w:lineRule="auto"/>
        <w:rPr>
          <w:rFonts w:asciiTheme="majorHAnsi" w:hAnsiTheme="majorHAnsi" w:cstheme="majorHAnsi"/>
          <w:color w:val="011A3C"/>
        </w:rPr>
      </w:pPr>
      <w:hyperlink r:id="rId24" w:tgtFrame="_blank" w:history="1">
        <w:r w:rsidRPr="000F7C62">
          <w:rPr>
            <w:rStyle w:val="rpl-text-label"/>
            <w:rFonts w:asciiTheme="majorHAnsi" w:hAnsiTheme="majorHAnsi" w:cstheme="majorHAnsi"/>
            <w:color w:val="1855BF"/>
          </w:rPr>
          <w:t>Charter of Human Rights and Responsibilities Act 2006 </w:t>
        </w:r>
        <w:r w:rsidRPr="000F7C62">
          <w:rPr>
            <w:rStyle w:val="rpl-text-icongroup"/>
            <w:rFonts w:asciiTheme="majorHAnsi" w:hAnsiTheme="majorHAnsi" w:cstheme="majorHAnsi"/>
            <w:color w:val="1855BF"/>
          </w:rPr>
          <w:t>(Vic)</w:t>
        </w:r>
      </w:hyperlink>
    </w:p>
    <w:p w14:paraId="56678419" w14:textId="77777777" w:rsidR="000F7C62" w:rsidRPr="000F7C62" w:rsidRDefault="000F7C62" w:rsidP="000F7C62">
      <w:pPr>
        <w:numPr>
          <w:ilvl w:val="0"/>
          <w:numId w:val="31"/>
        </w:numPr>
        <w:spacing w:before="100" w:beforeAutospacing="1" w:after="100" w:afterAutospacing="1" w:line="240" w:lineRule="auto"/>
        <w:rPr>
          <w:rFonts w:asciiTheme="majorHAnsi" w:hAnsiTheme="majorHAnsi" w:cstheme="majorHAnsi"/>
          <w:color w:val="011A3C"/>
        </w:rPr>
      </w:pPr>
      <w:hyperlink r:id="rId25" w:tgtFrame="_blank" w:history="1">
        <w:r w:rsidRPr="000F7C62">
          <w:rPr>
            <w:rStyle w:val="rpl-text-label"/>
            <w:rFonts w:asciiTheme="majorHAnsi" w:hAnsiTheme="majorHAnsi" w:cstheme="majorHAnsi"/>
            <w:color w:val="1855BF"/>
          </w:rPr>
          <w:t>Education Training and Reform Act 2006 </w:t>
        </w:r>
        <w:r w:rsidRPr="000F7C62">
          <w:rPr>
            <w:rStyle w:val="rpl-text-icongroup"/>
            <w:rFonts w:asciiTheme="majorHAnsi" w:hAnsiTheme="majorHAnsi" w:cstheme="majorHAnsi"/>
            <w:color w:val="1855BF"/>
          </w:rPr>
          <w:t>(Vic)</w:t>
        </w:r>
      </w:hyperlink>
    </w:p>
    <w:p w14:paraId="5C43A1AD" w14:textId="77777777" w:rsidR="000F7C62" w:rsidRPr="000F7C62" w:rsidRDefault="000F7C62" w:rsidP="000F7C62">
      <w:pPr>
        <w:pStyle w:val="Heading2"/>
        <w:spacing w:line="312" w:lineRule="atLeast"/>
        <w:rPr>
          <w:rFonts w:asciiTheme="majorHAnsi" w:hAnsiTheme="majorHAnsi" w:cstheme="majorHAnsi"/>
          <w:b w:val="0"/>
          <w:bCs w:val="0"/>
          <w:color w:val="011A3C"/>
        </w:rPr>
      </w:pPr>
      <w:r w:rsidRPr="000F7C62">
        <w:rPr>
          <w:rFonts w:asciiTheme="majorHAnsi" w:hAnsiTheme="majorHAnsi" w:cstheme="majorHAnsi"/>
          <w:b w:val="0"/>
          <w:bCs w:val="0"/>
          <w:color w:val="011A3C"/>
        </w:rPr>
        <w:t>Contacts</w:t>
      </w:r>
    </w:p>
    <w:p w14:paraId="299E4796" w14:textId="77777777" w:rsidR="000F7C62" w:rsidRPr="000F7C62" w:rsidRDefault="000F7C62" w:rsidP="00DA4F9F">
      <w:pPr>
        <w:pStyle w:val="NoSpacing"/>
      </w:pPr>
      <w:r w:rsidRPr="000F7C62">
        <w:t>Schools</w:t>
      </w:r>
    </w:p>
    <w:p w14:paraId="382D01E3" w14:textId="77777777" w:rsidR="000F7C62" w:rsidRPr="000F7C62" w:rsidRDefault="000F7C62" w:rsidP="00DA4F9F">
      <w:pPr>
        <w:pStyle w:val="NormalWeb"/>
        <w:spacing w:before="0" w:beforeAutospacing="0"/>
        <w:rPr>
          <w:rFonts w:asciiTheme="majorHAnsi" w:hAnsiTheme="majorHAnsi" w:cstheme="majorHAnsi"/>
          <w:color w:val="011A3C"/>
        </w:rPr>
      </w:pPr>
      <w:r w:rsidRPr="000F7C62">
        <w:rPr>
          <w:rFonts w:asciiTheme="majorHAnsi" w:hAnsiTheme="majorHAnsi" w:cstheme="majorHAnsi"/>
          <w:color w:val="011A3C"/>
        </w:rPr>
        <w:t>For policy enquiries, you can contact the School Operations and Governance Unit: </w:t>
      </w:r>
      <w:hyperlink r:id="rId26" w:history="1">
        <w:r w:rsidRPr="000F7C62">
          <w:rPr>
            <w:rStyle w:val="rpl-text-label"/>
            <w:rFonts w:asciiTheme="majorHAnsi" w:hAnsiTheme="majorHAnsi" w:cstheme="majorHAnsi"/>
            <w:color w:val="1855BF"/>
          </w:rPr>
          <w:t>parent.payments@education.vic.gov.au</w:t>
        </w:r>
      </w:hyperlink>
    </w:p>
    <w:p w14:paraId="31AE2461" w14:textId="77777777" w:rsidR="000F7C62" w:rsidRPr="000F7C62" w:rsidRDefault="000F7C62" w:rsidP="000F7C62">
      <w:pPr>
        <w:pStyle w:val="NormalWeb"/>
        <w:rPr>
          <w:rFonts w:asciiTheme="majorHAnsi" w:hAnsiTheme="majorHAnsi" w:cstheme="majorHAnsi"/>
          <w:color w:val="011A3C"/>
        </w:rPr>
      </w:pPr>
      <w:r w:rsidRPr="000F7C62">
        <w:rPr>
          <w:rFonts w:asciiTheme="majorHAnsi" w:hAnsiTheme="majorHAnsi" w:cstheme="majorHAnsi"/>
          <w:color w:val="011A3C"/>
        </w:rPr>
        <w:t>For financial enquiries, you can contact Schools Financial Management Support Unit: </w:t>
      </w:r>
      <w:hyperlink r:id="rId27" w:history="1">
        <w:r w:rsidRPr="000F7C62">
          <w:rPr>
            <w:rStyle w:val="rpl-text-label"/>
            <w:rFonts w:asciiTheme="majorHAnsi" w:hAnsiTheme="majorHAnsi" w:cstheme="majorHAnsi"/>
            <w:color w:val="1855BF"/>
          </w:rPr>
          <w:t>schools.finance.support@education.vic.gov.au</w:t>
        </w:r>
      </w:hyperlink>
    </w:p>
    <w:p w14:paraId="00B65896" w14:textId="77777777" w:rsidR="000F7C62" w:rsidRPr="000F7C62" w:rsidRDefault="000F7C62" w:rsidP="00DA4F9F">
      <w:pPr>
        <w:pStyle w:val="NoSpacing"/>
      </w:pPr>
      <w:r w:rsidRPr="000F7C62">
        <w:t>Parents</w:t>
      </w:r>
    </w:p>
    <w:p w14:paraId="2C0AF305" w14:textId="77777777" w:rsidR="00DA4F9F" w:rsidRDefault="000F7C62" w:rsidP="00DA4F9F">
      <w:pPr>
        <w:pStyle w:val="NormalWeb"/>
        <w:spacing w:before="0" w:beforeAutospacing="0"/>
        <w:rPr>
          <w:rFonts w:asciiTheme="majorHAnsi" w:hAnsiTheme="majorHAnsi" w:cstheme="majorHAnsi"/>
          <w:color w:val="011A3C"/>
        </w:rPr>
      </w:pPr>
      <w:r w:rsidRPr="000F7C62">
        <w:rPr>
          <w:rFonts w:asciiTheme="majorHAnsi" w:hAnsiTheme="majorHAnsi" w:cstheme="majorHAnsi"/>
          <w:color w:val="011A3C"/>
        </w:rPr>
        <w:t>If you have any queries about your school’s parent payment arrangements, please speak with your school first.</w:t>
      </w:r>
    </w:p>
    <w:p w14:paraId="19B58B23" w14:textId="5630DFEA" w:rsidR="002E38C2" w:rsidRPr="000F7C62" w:rsidRDefault="002E38C2" w:rsidP="00DA4F9F">
      <w:pPr>
        <w:pStyle w:val="NormalWeb"/>
        <w:rPr>
          <w:rFonts w:asciiTheme="majorHAnsi" w:hAnsiTheme="majorHAnsi" w:cstheme="majorHAnsi"/>
          <w:b/>
          <w:sz w:val="27"/>
          <w:szCs w:val="27"/>
        </w:rPr>
      </w:pPr>
      <w:r w:rsidRPr="000F7C62">
        <w:rPr>
          <w:rFonts w:asciiTheme="majorHAnsi" w:eastAsia="Calibri" w:hAnsiTheme="majorHAnsi" w:cstheme="majorHAnsi"/>
          <w:b/>
          <w:sz w:val="27"/>
          <w:szCs w:val="27"/>
        </w:rPr>
        <w:t>POLICY REVIEW AND APPROVAL</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25"/>
        <w:gridCol w:w="6075"/>
      </w:tblGrid>
      <w:tr w:rsidR="002E38C2" w:rsidRPr="000F7C62" w14:paraId="273864AC" w14:textId="77777777" w:rsidTr="00E23506">
        <w:tc>
          <w:tcPr>
            <w:tcW w:w="2925" w:type="dxa"/>
          </w:tcPr>
          <w:p w14:paraId="64A76DAB" w14:textId="77777777" w:rsidR="002E38C2" w:rsidRPr="000F7C62" w:rsidRDefault="002E38C2" w:rsidP="00E23506">
            <w:pPr>
              <w:rPr>
                <w:rFonts w:asciiTheme="majorHAnsi" w:hAnsiTheme="majorHAnsi" w:cstheme="majorHAnsi"/>
              </w:rPr>
            </w:pPr>
            <w:bookmarkStart w:id="1" w:name="_heading=h.gjdgxs" w:colFirst="0" w:colLast="0"/>
            <w:bookmarkEnd w:id="1"/>
            <w:r w:rsidRPr="000F7C62">
              <w:rPr>
                <w:rFonts w:asciiTheme="majorHAnsi" w:eastAsia="Calibri" w:hAnsiTheme="majorHAnsi" w:cstheme="majorHAnsi"/>
              </w:rPr>
              <w:t>Policy last reviewed</w:t>
            </w:r>
          </w:p>
        </w:tc>
        <w:tc>
          <w:tcPr>
            <w:tcW w:w="6075" w:type="dxa"/>
          </w:tcPr>
          <w:p w14:paraId="0627280E" w14:textId="41EBD63A" w:rsidR="002E38C2" w:rsidRPr="000F7C62" w:rsidRDefault="00DF43AA" w:rsidP="00E23506">
            <w:pPr>
              <w:rPr>
                <w:rFonts w:asciiTheme="majorHAnsi" w:hAnsiTheme="majorHAnsi" w:cstheme="majorHAnsi"/>
              </w:rPr>
            </w:pPr>
            <w:r>
              <w:rPr>
                <w:rFonts w:asciiTheme="majorHAnsi" w:hAnsiTheme="majorHAnsi" w:cstheme="majorHAnsi"/>
              </w:rPr>
              <w:t>March 2026</w:t>
            </w:r>
          </w:p>
        </w:tc>
      </w:tr>
      <w:tr w:rsidR="002E38C2" w:rsidRPr="000F7C62" w14:paraId="541EBE02" w14:textId="77777777" w:rsidTr="00E23506">
        <w:tc>
          <w:tcPr>
            <w:tcW w:w="2925" w:type="dxa"/>
          </w:tcPr>
          <w:p w14:paraId="397AEE2E" w14:textId="77777777" w:rsidR="002E38C2" w:rsidRPr="000F7C62" w:rsidRDefault="002E38C2" w:rsidP="00E23506">
            <w:pPr>
              <w:rPr>
                <w:rFonts w:asciiTheme="majorHAnsi" w:hAnsiTheme="majorHAnsi" w:cstheme="majorHAnsi"/>
              </w:rPr>
            </w:pPr>
            <w:r w:rsidRPr="000F7C62">
              <w:rPr>
                <w:rFonts w:asciiTheme="majorHAnsi" w:eastAsia="Calibri" w:hAnsiTheme="majorHAnsi" w:cstheme="majorHAnsi"/>
              </w:rPr>
              <w:t xml:space="preserve">Consultation </w:t>
            </w:r>
          </w:p>
        </w:tc>
        <w:tc>
          <w:tcPr>
            <w:tcW w:w="6075" w:type="dxa"/>
          </w:tcPr>
          <w:p w14:paraId="3C10306E" w14:textId="77777777" w:rsidR="002E38C2" w:rsidRPr="000F7C62" w:rsidRDefault="002E38C2" w:rsidP="00E23506">
            <w:pPr>
              <w:rPr>
                <w:rFonts w:asciiTheme="majorHAnsi" w:hAnsiTheme="majorHAnsi" w:cstheme="majorHAnsi"/>
              </w:rPr>
            </w:pPr>
            <w:r w:rsidRPr="000F7C62">
              <w:rPr>
                <w:rFonts w:asciiTheme="majorHAnsi" w:eastAsia="Calibri" w:hAnsiTheme="majorHAnsi" w:cstheme="majorHAnsi"/>
              </w:rPr>
              <w:t>Education subcommittee and school council</w:t>
            </w:r>
          </w:p>
        </w:tc>
      </w:tr>
      <w:tr w:rsidR="002E38C2" w:rsidRPr="000F7C62" w14:paraId="5245AB84" w14:textId="77777777" w:rsidTr="00E23506">
        <w:tc>
          <w:tcPr>
            <w:tcW w:w="2925" w:type="dxa"/>
          </w:tcPr>
          <w:p w14:paraId="3A6C2898" w14:textId="77777777" w:rsidR="002E38C2" w:rsidRPr="000F7C62" w:rsidRDefault="002E38C2" w:rsidP="00E23506">
            <w:pPr>
              <w:rPr>
                <w:rFonts w:asciiTheme="majorHAnsi" w:hAnsiTheme="majorHAnsi" w:cstheme="majorHAnsi"/>
              </w:rPr>
            </w:pPr>
            <w:r w:rsidRPr="000F7C62">
              <w:rPr>
                <w:rFonts w:asciiTheme="majorHAnsi" w:eastAsia="Calibri" w:hAnsiTheme="majorHAnsi" w:cstheme="majorHAnsi"/>
              </w:rPr>
              <w:t>Approved by</w:t>
            </w:r>
          </w:p>
        </w:tc>
        <w:tc>
          <w:tcPr>
            <w:tcW w:w="6075" w:type="dxa"/>
          </w:tcPr>
          <w:p w14:paraId="625E2F33" w14:textId="77777777" w:rsidR="002E38C2" w:rsidRPr="000F7C62" w:rsidRDefault="002E38C2" w:rsidP="00E23506">
            <w:pPr>
              <w:rPr>
                <w:rFonts w:asciiTheme="majorHAnsi" w:hAnsiTheme="majorHAnsi" w:cstheme="majorHAnsi"/>
              </w:rPr>
            </w:pPr>
            <w:bookmarkStart w:id="2" w:name="_heading=h.30j0zll" w:colFirst="0" w:colLast="0"/>
            <w:bookmarkEnd w:id="2"/>
            <w:r w:rsidRPr="000F7C62">
              <w:rPr>
                <w:rFonts w:asciiTheme="majorHAnsi" w:eastAsia="Calibri" w:hAnsiTheme="majorHAnsi" w:cstheme="majorHAnsi"/>
              </w:rPr>
              <w:t>Principal and School Council</w:t>
            </w:r>
          </w:p>
        </w:tc>
      </w:tr>
      <w:tr w:rsidR="002E38C2" w:rsidRPr="000F7C62" w14:paraId="029DD935" w14:textId="77777777" w:rsidTr="00E23506">
        <w:tc>
          <w:tcPr>
            <w:tcW w:w="2925" w:type="dxa"/>
          </w:tcPr>
          <w:p w14:paraId="55D1C7AF" w14:textId="77777777" w:rsidR="002E38C2" w:rsidRPr="000F7C62" w:rsidRDefault="002E38C2" w:rsidP="00E23506">
            <w:pPr>
              <w:rPr>
                <w:rFonts w:asciiTheme="majorHAnsi" w:hAnsiTheme="majorHAnsi" w:cstheme="majorHAnsi"/>
              </w:rPr>
            </w:pPr>
            <w:r w:rsidRPr="000F7C62">
              <w:rPr>
                <w:rFonts w:asciiTheme="majorHAnsi" w:eastAsia="Calibri" w:hAnsiTheme="majorHAnsi" w:cstheme="majorHAnsi"/>
              </w:rPr>
              <w:t>Next scheduled review date</w:t>
            </w:r>
          </w:p>
        </w:tc>
        <w:tc>
          <w:tcPr>
            <w:tcW w:w="6075" w:type="dxa"/>
          </w:tcPr>
          <w:p w14:paraId="6BE67185" w14:textId="07E60E4E" w:rsidR="002E38C2" w:rsidRPr="000F7C62" w:rsidRDefault="00A471CE" w:rsidP="00E23506">
            <w:pPr>
              <w:rPr>
                <w:rFonts w:asciiTheme="majorHAnsi" w:hAnsiTheme="majorHAnsi" w:cstheme="majorHAnsi"/>
              </w:rPr>
            </w:pPr>
            <w:r>
              <w:rPr>
                <w:rFonts w:asciiTheme="majorHAnsi" w:eastAsia="Calibri" w:hAnsiTheme="majorHAnsi" w:cstheme="majorHAnsi"/>
              </w:rPr>
              <w:t>March 202</w:t>
            </w:r>
            <w:r w:rsidR="00EC35FF">
              <w:rPr>
                <w:rFonts w:asciiTheme="majorHAnsi" w:eastAsia="Calibri" w:hAnsiTheme="majorHAnsi" w:cstheme="majorHAnsi"/>
              </w:rPr>
              <w:t>7</w:t>
            </w:r>
          </w:p>
        </w:tc>
      </w:tr>
    </w:tbl>
    <w:p w14:paraId="7E24A431" w14:textId="77777777" w:rsidR="002E38C2" w:rsidRPr="000F7C62" w:rsidRDefault="002E38C2" w:rsidP="00A37BA0">
      <w:pPr>
        <w:spacing w:after="0" w:line="240" w:lineRule="auto"/>
        <w:ind w:left="360"/>
        <w:rPr>
          <w:rFonts w:asciiTheme="majorHAnsi" w:hAnsiTheme="majorHAnsi" w:cstheme="majorHAnsi"/>
        </w:rPr>
      </w:pPr>
    </w:p>
    <w:p w14:paraId="33320D09" w14:textId="77777777" w:rsidR="00AE0A27" w:rsidRDefault="00AE0A27">
      <w:pPr>
        <w:rPr>
          <w:rFonts w:asciiTheme="majorHAnsi" w:hAnsiTheme="majorHAnsi" w:cstheme="majorHAnsi"/>
          <w:sz w:val="20"/>
          <w:szCs w:val="20"/>
        </w:rPr>
      </w:pPr>
      <w:r>
        <w:rPr>
          <w:rFonts w:asciiTheme="majorHAnsi" w:hAnsiTheme="majorHAnsi" w:cstheme="majorHAnsi"/>
          <w:sz w:val="20"/>
          <w:szCs w:val="20"/>
        </w:rPr>
        <w:br w:type="page"/>
      </w:r>
    </w:p>
    <w:tbl>
      <w:tblPr>
        <w:tblStyle w:val="TableGrid"/>
        <w:tblW w:w="0" w:type="auto"/>
        <w:tblLook w:val="04A0" w:firstRow="1" w:lastRow="0" w:firstColumn="1" w:lastColumn="0" w:noHBand="0" w:noVBand="1"/>
      </w:tblPr>
      <w:tblGrid>
        <w:gridCol w:w="9016"/>
      </w:tblGrid>
      <w:tr w:rsidR="00AE0A27" w14:paraId="45EF4368" w14:textId="77777777" w:rsidTr="00EB4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AB09885" w14:textId="77777777" w:rsidR="00AE0A27" w:rsidRPr="00AC3BC0" w:rsidRDefault="00AE0A27" w:rsidP="00EB4077">
            <w:pPr>
              <w:rPr>
                <w:rFonts w:ascii="Calibri" w:eastAsia="Calibri" w:hAnsi="Calibri" w:cs="Calibri"/>
                <w:i/>
                <w:sz w:val="32"/>
                <w:szCs w:val="32"/>
              </w:rPr>
            </w:pPr>
            <w:r>
              <w:rPr>
                <w:rFonts w:ascii="Calibri" w:eastAsia="Calibri" w:hAnsi="Calibri" w:cs="Calibri"/>
                <w:i/>
                <w:sz w:val="32"/>
                <w:szCs w:val="32"/>
              </w:rPr>
              <w:lastRenderedPageBreak/>
              <w:t>2025 Parent Payments</w:t>
            </w:r>
          </w:p>
          <w:p w14:paraId="33D7E3E9" w14:textId="77777777" w:rsidR="00AE0A27" w:rsidRPr="00EB0002" w:rsidRDefault="00AE0A27" w:rsidP="00EB4077">
            <w:pPr>
              <w:rPr>
                <w:rFonts w:ascii="Calibri" w:eastAsia="Calibri" w:hAnsi="Calibri" w:cs="Calibri"/>
                <w:iCs/>
              </w:rPr>
            </w:pPr>
            <w:r w:rsidRPr="0099322F">
              <w:rPr>
                <w:rFonts w:ascii="Calibri" w:eastAsia="Calibri" w:hAnsi="Calibri" w:cs="Calibri"/>
                <w:i/>
              </w:rPr>
              <w:t xml:space="preserve"> </w:t>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24"/>
              <w:gridCol w:w="1606"/>
            </w:tblGrid>
            <w:tr w:rsidR="00AE0A27" w:rsidRPr="00225197" w14:paraId="3F1A5FF0" w14:textId="77777777" w:rsidTr="00EB4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7C4F20F5" w14:textId="77777777" w:rsidR="00AE0A27" w:rsidRPr="00225197" w:rsidRDefault="00AE0A27" w:rsidP="00EB4077">
                  <w:pPr>
                    <w:rPr>
                      <w:rFonts w:ascii="Calibri" w:hAnsi="Calibri" w:cs="Calibri"/>
                    </w:rPr>
                  </w:pPr>
                  <w:r w:rsidRPr="00704A7B">
                    <w:rPr>
                      <w:rFonts w:ascii="Calibri" w:eastAsia="Calibri" w:hAnsi="Calibri" w:cs="Calibri"/>
                      <w:b/>
                    </w:rPr>
                    <w:t>Curriculum Contributions</w:t>
                  </w:r>
                  <w:r w:rsidRPr="00225197">
                    <w:rPr>
                      <w:rFonts w:ascii="Calibri" w:eastAsia="Calibri" w:hAnsi="Calibri" w:cs="Calibri"/>
                      <w:bCs/>
                    </w:rPr>
                    <w:t xml:space="preserve"> - </w:t>
                  </w:r>
                  <w:r w:rsidRPr="00225197">
                    <w:rPr>
                      <w:rFonts w:ascii="Calibri" w:eastAsia="Calibri" w:hAnsi="Calibri" w:cs="Calibri"/>
                    </w:rPr>
                    <w:t>items and activities that students use, or participate in, to access the Curriculum</w:t>
                  </w:r>
                </w:p>
              </w:tc>
              <w:tc>
                <w:tcPr>
                  <w:tcW w:w="1606" w:type="dxa"/>
                </w:tcPr>
                <w:p w14:paraId="02B04381" w14:textId="77777777" w:rsidR="00AE0A27" w:rsidRPr="00225197" w:rsidRDefault="00AE0A27" w:rsidP="00EB40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rPr>
                    <w:t>Amount</w:t>
                  </w:r>
                </w:p>
              </w:tc>
            </w:tr>
            <w:tr w:rsidR="00AE0A27" w:rsidRPr="00225197" w14:paraId="07F923A2"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71DF5D3E" w14:textId="77777777" w:rsidR="00AE0A27" w:rsidRPr="0099322F" w:rsidRDefault="00AE0A27" w:rsidP="00EB4077">
                  <w:pPr>
                    <w:rPr>
                      <w:rFonts w:ascii="Calibri" w:hAnsi="Calibri" w:cs="Calibri"/>
                    </w:rPr>
                  </w:pPr>
                  <w:r w:rsidRPr="0099322F">
                    <w:rPr>
                      <w:rFonts w:ascii="Calibri" w:eastAsia="Calibri" w:hAnsi="Calibri" w:cs="Calibri"/>
                      <w:i/>
                      <w:iCs/>
                    </w:rPr>
                    <w:t>Year  Prep- 6 classroom consumables, materials &amp; equipment</w:t>
                  </w:r>
                </w:p>
                <w:p w14:paraId="21090950" w14:textId="77777777" w:rsidR="00AE0A27" w:rsidRPr="0099322F" w:rsidRDefault="00AE0A27" w:rsidP="00AE0A27">
                  <w:pPr>
                    <w:pStyle w:val="ListParagraph"/>
                    <w:numPr>
                      <w:ilvl w:val="0"/>
                      <w:numId w:val="13"/>
                    </w:numPr>
                    <w:rPr>
                      <w:rFonts w:ascii="Calibri" w:eastAsiaTheme="minorEastAsia" w:hAnsi="Calibri" w:cs="Calibri"/>
                      <w:i/>
                      <w:iCs/>
                    </w:rPr>
                  </w:pPr>
                  <w:r w:rsidRPr="0099322F">
                    <w:rPr>
                      <w:rFonts w:ascii="Calibri" w:eastAsia="Calibri" w:hAnsi="Calibri" w:cs="Calibri"/>
                      <w:i/>
                      <w:iCs/>
                    </w:rPr>
                    <w:t>Art – paint, crayons, canvas, glitter, coloured paper ($10)</w:t>
                  </w:r>
                </w:p>
                <w:p w14:paraId="72B70A37" w14:textId="77777777" w:rsidR="00AE0A27" w:rsidRPr="0099322F" w:rsidRDefault="00AE0A27" w:rsidP="00AE0A27">
                  <w:pPr>
                    <w:pStyle w:val="ListParagraph"/>
                    <w:numPr>
                      <w:ilvl w:val="0"/>
                      <w:numId w:val="13"/>
                    </w:numPr>
                    <w:rPr>
                      <w:rFonts w:ascii="Calibri" w:eastAsiaTheme="minorEastAsia" w:hAnsi="Calibri" w:cs="Calibri"/>
                      <w:i/>
                      <w:iCs/>
                    </w:rPr>
                  </w:pPr>
                  <w:r w:rsidRPr="0099322F">
                    <w:rPr>
                      <w:rFonts w:ascii="Calibri" w:eastAsia="Calibri" w:hAnsi="Calibri" w:cs="Calibri"/>
                      <w:i/>
                      <w:iCs/>
                    </w:rPr>
                    <w:t>Science – chemicals</w:t>
                  </w:r>
                  <w:r>
                    <w:rPr>
                      <w:rFonts w:ascii="Calibri" w:eastAsia="Calibri" w:hAnsi="Calibri" w:cs="Calibri"/>
                      <w:i/>
                      <w:iCs/>
                    </w:rPr>
                    <w:t>, equipment</w:t>
                  </w:r>
                  <w:r w:rsidRPr="0099322F">
                    <w:rPr>
                      <w:rFonts w:ascii="Calibri" w:eastAsia="Calibri" w:hAnsi="Calibri" w:cs="Calibri"/>
                      <w:i/>
                      <w:iCs/>
                    </w:rPr>
                    <w:t xml:space="preserve"> ($5)</w:t>
                  </w:r>
                </w:p>
                <w:p w14:paraId="730FDD1C" w14:textId="3205C612" w:rsidR="00AE0A27" w:rsidRPr="0099322F" w:rsidRDefault="00AE0A27" w:rsidP="00AE0A27">
                  <w:pPr>
                    <w:pStyle w:val="ListParagraph"/>
                    <w:numPr>
                      <w:ilvl w:val="0"/>
                      <w:numId w:val="13"/>
                    </w:numPr>
                    <w:rPr>
                      <w:rFonts w:ascii="Calibri" w:eastAsiaTheme="minorEastAsia" w:hAnsi="Calibri" w:cs="Calibri"/>
                      <w:i/>
                      <w:iCs/>
                    </w:rPr>
                  </w:pPr>
                  <w:r w:rsidRPr="0099322F">
                    <w:rPr>
                      <w:rFonts w:ascii="Calibri" w:eastAsia="Calibri" w:hAnsi="Calibri" w:cs="Calibri"/>
                      <w:i/>
                      <w:iCs/>
                    </w:rPr>
                    <w:t>Mathematics – numeracy blocks ($</w:t>
                  </w:r>
                  <w:r w:rsidR="00A471CE">
                    <w:rPr>
                      <w:rFonts w:ascii="Calibri" w:eastAsia="Calibri" w:hAnsi="Calibri" w:cs="Calibri"/>
                      <w:i/>
                      <w:iCs/>
                    </w:rPr>
                    <w:t>10</w:t>
                  </w:r>
                  <w:r w:rsidRPr="0099322F">
                    <w:rPr>
                      <w:rFonts w:ascii="Calibri" w:eastAsia="Calibri" w:hAnsi="Calibri" w:cs="Calibri"/>
                      <w:i/>
                      <w:iCs/>
                    </w:rPr>
                    <w:t>)</w:t>
                  </w:r>
                </w:p>
                <w:p w14:paraId="42A26233" w14:textId="77777777" w:rsidR="00AE0A27" w:rsidRPr="0099322F" w:rsidRDefault="00AE0A27" w:rsidP="00AE0A27">
                  <w:pPr>
                    <w:pStyle w:val="ListParagraph"/>
                    <w:numPr>
                      <w:ilvl w:val="0"/>
                      <w:numId w:val="13"/>
                    </w:numPr>
                    <w:rPr>
                      <w:rFonts w:ascii="Calibri" w:eastAsiaTheme="minorEastAsia" w:hAnsi="Calibri" w:cs="Calibri"/>
                      <w:i/>
                      <w:iCs/>
                    </w:rPr>
                  </w:pPr>
                  <w:r w:rsidRPr="0099322F">
                    <w:rPr>
                      <w:rFonts w:ascii="Calibri" w:eastAsia="Calibri" w:hAnsi="Calibri" w:cs="Calibri"/>
                      <w:i/>
                      <w:iCs/>
                    </w:rPr>
                    <w:t>English – book boxes ($10)</w:t>
                  </w:r>
                </w:p>
                <w:p w14:paraId="6A9E0F13" w14:textId="77777777" w:rsidR="00AE0A27" w:rsidRPr="0099322F" w:rsidRDefault="00AE0A27" w:rsidP="00AE0A27">
                  <w:pPr>
                    <w:pStyle w:val="ListParagraph"/>
                    <w:numPr>
                      <w:ilvl w:val="0"/>
                      <w:numId w:val="13"/>
                    </w:numPr>
                    <w:rPr>
                      <w:rFonts w:ascii="Calibri" w:eastAsiaTheme="minorEastAsia" w:hAnsi="Calibri" w:cs="Calibri"/>
                      <w:i/>
                      <w:iCs/>
                    </w:rPr>
                  </w:pPr>
                  <w:r w:rsidRPr="0099322F">
                    <w:rPr>
                      <w:rFonts w:ascii="Calibri" w:eastAsia="Calibri" w:hAnsi="Calibri" w:cs="Calibri"/>
                      <w:i/>
                      <w:iCs/>
                    </w:rPr>
                    <w:t>Sports – equipment ($5)</w:t>
                  </w:r>
                </w:p>
                <w:p w14:paraId="5DF9CA3C" w14:textId="77777777" w:rsidR="00AE0A27" w:rsidRPr="008560A7" w:rsidRDefault="00AE0A27" w:rsidP="00AE0A27">
                  <w:pPr>
                    <w:pStyle w:val="ListParagraph"/>
                    <w:numPr>
                      <w:ilvl w:val="0"/>
                      <w:numId w:val="13"/>
                    </w:numPr>
                    <w:rPr>
                      <w:rFonts w:ascii="Calibri" w:eastAsiaTheme="minorEastAsia" w:hAnsi="Calibri" w:cs="Calibri"/>
                      <w:i/>
                      <w:iCs/>
                    </w:rPr>
                  </w:pPr>
                  <w:r w:rsidRPr="0099322F">
                    <w:rPr>
                      <w:rFonts w:ascii="Calibri" w:eastAsia="Calibri" w:hAnsi="Calibri" w:cs="Calibri"/>
                      <w:i/>
                      <w:iCs/>
                    </w:rPr>
                    <w:t>Library –</w:t>
                  </w:r>
                  <w:r>
                    <w:rPr>
                      <w:rFonts w:ascii="Calibri" w:eastAsia="Calibri" w:hAnsi="Calibri" w:cs="Calibri"/>
                      <w:i/>
                      <w:iCs/>
                    </w:rPr>
                    <w:t xml:space="preserve"> books, library systems</w:t>
                  </w:r>
                  <w:r w:rsidRPr="0099322F">
                    <w:rPr>
                      <w:rFonts w:ascii="Calibri" w:eastAsia="Calibri" w:hAnsi="Calibri" w:cs="Calibri"/>
                      <w:i/>
                      <w:iCs/>
                    </w:rPr>
                    <w:t xml:space="preserve"> ($5)</w:t>
                  </w:r>
                </w:p>
                <w:p w14:paraId="52D04C4B" w14:textId="77777777" w:rsidR="00AE0A27" w:rsidRPr="0099322F" w:rsidRDefault="00AE0A27" w:rsidP="00AE0A27">
                  <w:pPr>
                    <w:pStyle w:val="ListParagraph"/>
                    <w:numPr>
                      <w:ilvl w:val="0"/>
                      <w:numId w:val="13"/>
                    </w:numPr>
                    <w:rPr>
                      <w:rFonts w:ascii="Calibri" w:eastAsiaTheme="minorEastAsia" w:hAnsi="Calibri" w:cs="Calibri"/>
                      <w:i/>
                      <w:iCs/>
                    </w:rPr>
                  </w:pPr>
                  <w:r>
                    <w:rPr>
                      <w:rFonts w:ascii="Calibri" w:eastAsia="Calibri" w:hAnsi="Calibri" w:cs="Calibri"/>
                      <w:i/>
                      <w:iCs/>
                    </w:rPr>
                    <w:t>Discovery program EG LEGO room equip ($5)</w:t>
                  </w:r>
                </w:p>
              </w:tc>
              <w:tc>
                <w:tcPr>
                  <w:tcW w:w="1606" w:type="dxa"/>
                  <w:vAlign w:val="center"/>
                </w:tcPr>
                <w:p w14:paraId="1C0BB3B0" w14:textId="77777777" w:rsidR="00AE0A27" w:rsidRPr="0099322F"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322F">
                    <w:rPr>
                      <w:rFonts w:ascii="Calibri" w:eastAsia="Calibri" w:hAnsi="Calibri" w:cs="Calibri"/>
                    </w:rPr>
                    <w:t>$</w:t>
                  </w:r>
                  <w:r>
                    <w:rPr>
                      <w:rFonts w:ascii="Calibri" w:eastAsia="Calibri" w:hAnsi="Calibri" w:cs="Calibri"/>
                    </w:rPr>
                    <w:t>50</w:t>
                  </w:r>
                </w:p>
              </w:tc>
            </w:tr>
            <w:tr w:rsidR="00AE0A27" w:rsidRPr="00225197" w14:paraId="558D66C7"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7BD8B645" w14:textId="77777777" w:rsidR="00AE0A27" w:rsidRPr="0099322F" w:rsidRDefault="00AE0A27" w:rsidP="00EB4077">
                  <w:pPr>
                    <w:rPr>
                      <w:rFonts w:ascii="Calibri" w:hAnsi="Calibri" w:cs="Calibri"/>
                    </w:rPr>
                  </w:pPr>
                  <w:r w:rsidRPr="0099322F">
                    <w:rPr>
                      <w:rFonts w:ascii="Calibri" w:eastAsia="Calibri" w:hAnsi="Calibri" w:cs="Calibri"/>
                      <w:i/>
                      <w:iCs/>
                    </w:rPr>
                    <w:t>Online Subscriptions</w:t>
                  </w:r>
                </w:p>
                <w:p w14:paraId="43D56CA7" w14:textId="77777777" w:rsidR="00AE0A27" w:rsidRPr="0099322F" w:rsidRDefault="00AE0A27" w:rsidP="00AE0A27">
                  <w:pPr>
                    <w:pStyle w:val="ListParagraph"/>
                    <w:numPr>
                      <w:ilvl w:val="0"/>
                      <w:numId w:val="12"/>
                    </w:numPr>
                    <w:rPr>
                      <w:rFonts w:ascii="Calibri" w:eastAsiaTheme="minorEastAsia" w:hAnsi="Calibri" w:cs="Calibri"/>
                      <w:i/>
                      <w:iCs/>
                    </w:rPr>
                  </w:pPr>
                  <w:r w:rsidRPr="0099322F">
                    <w:rPr>
                      <w:rFonts w:ascii="Calibri" w:eastAsia="Calibri" w:hAnsi="Calibri" w:cs="Calibri"/>
                      <w:i/>
                      <w:iCs/>
                    </w:rPr>
                    <w:t>Compass ($10)</w:t>
                  </w:r>
                </w:p>
                <w:p w14:paraId="6DB6189C" w14:textId="77777777" w:rsidR="00AE0A27" w:rsidRPr="0099322F" w:rsidRDefault="00AE0A27" w:rsidP="00AE0A27">
                  <w:pPr>
                    <w:pStyle w:val="ListParagraph"/>
                    <w:numPr>
                      <w:ilvl w:val="0"/>
                      <w:numId w:val="12"/>
                    </w:numPr>
                    <w:rPr>
                      <w:rFonts w:ascii="Calibri" w:eastAsiaTheme="minorEastAsia" w:hAnsi="Calibri" w:cs="Calibri"/>
                      <w:i/>
                      <w:iCs/>
                    </w:rPr>
                  </w:pPr>
                  <w:r>
                    <w:rPr>
                      <w:rFonts w:ascii="Calibri" w:eastAsia="Calibri" w:hAnsi="Calibri" w:cs="Calibri"/>
                      <w:i/>
                      <w:iCs/>
                    </w:rPr>
                    <w:t>On-Line learning platforms ($20</w:t>
                  </w:r>
                  <w:r w:rsidRPr="0099322F">
                    <w:rPr>
                      <w:rFonts w:ascii="Calibri" w:eastAsia="Calibri" w:hAnsi="Calibri" w:cs="Calibri"/>
                      <w:i/>
                      <w:iCs/>
                    </w:rPr>
                    <w:t>)</w:t>
                  </w:r>
                </w:p>
              </w:tc>
              <w:tc>
                <w:tcPr>
                  <w:tcW w:w="1606" w:type="dxa"/>
                  <w:vAlign w:val="center"/>
                </w:tcPr>
                <w:p w14:paraId="7DDAFF9F" w14:textId="77777777" w:rsidR="00AE0A27" w:rsidRPr="0099322F"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322F">
                    <w:rPr>
                      <w:rFonts w:ascii="Calibri" w:eastAsia="Calibri" w:hAnsi="Calibri" w:cs="Calibri"/>
                    </w:rPr>
                    <w:t>$</w:t>
                  </w:r>
                  <w:r>
                    <w:rPr>
                      <w:rFonts w:ascii="Calibri" w:eastAsia="Calibri" w:hAnsi="Calibri" w:cs="Calibri"/>
                    </w:rPr>
                    <w:t>30</w:t>
                  </w:r>
                </w:p>
              </w:tc>
            </w:tr>
            <w:tr w:rsidR="00AE0A27" w:rsidRPr="00225197" w14:paraId="4E594484"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2CACCF6A" w14:textId="77777777" w:rsidR="00AE0A27" w:rsidRPr="00A5499D" w:rsidRDefault="00AE0A27" w:rsidP="00EB4077">
                  <w:pPr>
                    <w:rPr>
                      <w:rFonts w:ascii="Calibri" w:hAnsi="Calibri" w:cs="Calibri"/>
                    </w:rPr>
                  </w:pPr>
                  <w:r w:rsidRPr="00A5499D">
                    <w:rPr>
                      <w:rFonts w:ascii="Calibri" w:eastAsia="Calibri" w:hAnsi="Calibri" w:cs="Calibri"/>
                      <w:i/>
                      <w:iCs/>
                    </w:rPr>
                    <w:t>ICT Devices – provision of devices from the shared classroom sets</w:t>
                  </w:r>
                </w:p>
              </w:tc>
              <w:tc>
                <w:tcPr>
                  <w:tcW w:w="1606" w:type="dxa"/>
                  <w:vAlign w:val="center"/>
                </w:tcPr>
                <w:p w14:paraId="7C9DD74B" w14:textId="77777777" w:rsidR="00AE0A27" w:rsidRPr="00A5499D"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5499D">
                    <w:rPr>
                      <w:rFonts w:ascii="Calibri" w:eastAsia="Calibri" w:hAnsi="Calibri" w:cs="Calibri"/>
                    </w:rPr>
                    <w:t>$10</w:t>
                  </w:r>
                </w:p>
              </w:tc>
            </w:tr>
            <w:tr w:rsidR="00AE0A27" w:rsidRPr="00225197" w14:paraId="76C9E1CC"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51A667ED" w14:textId="77777777" w:rsidR="00AE0A27" w:rsidRPr="00A5499D" w:rsidRDefault="00AE0A27" w:rsidP="00EB4077">
                  <w:pPr>
                    <w:rPr>
                      <w:rFonts w:ascii="Calibri" w:hAnsi="Calibri" w:cs="Calibri"/>
                    </w:rPr>
                  </w:pPr>
                  <w:r w:rsidRPr="00A5499D">
                    <w:rPr>
                      <w:rFonts w:ascii="Calibri" w:eastAsia="Calibri" w:hAnsi="Calibri" w:cs="Calibri"/>
                      <w:i/>
                      <w:iCs/>
                    </w:rPr>
                    <w:t>Printing and photocopying of worksheets and learning materials</w:t>
                  </w:r>
                </w:p>
              </w:tc>
              <w:tc>
                <w:tcPr>
                  <w:tcW w:w="1606" w:type="dxa"/>
                  <w:vAlign w:val="center"/>
                </w:tcPr>
                <w:p w14:paraId="77EDBF1E" w14:textId="77777777" w:rsidR="00AE0A27" w:rsidRPr="00A5499D"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5499D">
                    <w:rPr>
                      <w:rFonts w:ascii="Calibri" w:eastAsia="Calibri" w:hAnsi="Calibri" w:cs="Calibri"/>
                    </w:rPr>
                    <w:t>$10</w:t>
                  </w:r>
                </w:p>
              </w:tc>
            </w:tr>
            <w:tr w:rsidR="007E6029" w:rsidRPr="00225197" w14:paraId="5F5A0845"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20A81BB9" w14:textId="7D100A3F" w:rsidR="007E6029" w:rsidRPr="00A5499D" w:rsidRDefault="00D06047" w:rsidP="00EB4077">
                  <w:pPr>
                    <w:rPr>
                      <w:rFonts w:ascii="Calibri" w:eastAsia="Calibri" w:hAnsi="Calibri" w:cs="Calibri"/>
                      <w:i/>
                      <w:iCs/>
                    </w:rPr>
                  </w:pPr>
                  <w:r>
                    <w:rPr>
                      <w:rFonts w:ascii="Calibri" w:eastAsia="Calibri" w:hAnsi="Calibri" w:cs="Calibri"/>
                      <w:i/>
                      <w:iCs/>
                    </w:rPr>
                    <w:t>2026 Book Packs</w:t>
                  </w:r>
                </w:p>
              </w:tc>
              <w:tc>
                <w:tcPr>
                  <w:tcW w:w="1606" w:type="dxa"/>
                  <w:vAlign w:val="center"/>
                </w:tcPr>
                <w:p w14:paraId="6C3C4618" w14:textId="7B7B1376" w:rsidR="007E6029" w:rsidRPr="00A5499D" w:rsidRDefault="00D06047" w:rsidP="00EB407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$50</w:t>
                  </w:r>
                </w:p>
              </w:tc>
            </w:tr>
            <w:tr w:rsidR="00AE0A27" w:rsidRPr="00225197" w14:paraId="5548FF0F" w14:textId="77777777" w:rsidTr="00EB4077">
              <w:tc>
                <w:tcPr>
                  <w:cnfStyle w:val="001000000000" w:firstRow="0" w:lastRow="0" w:firstColumn="1" w:lastColumn="0" w:oddVBand="0" w:evenVBand="0" w:oddHBand="0" w:evenHBand="0" w:firstRowFirstColumn="0" w:firstRowLastColumn="0" w:lastRowFirstColumn="0" w:lastRowLastColumn="0"/>
                  <w:tcW w:w="8024" w:type="dxa"/>
                  <w:shd w:val="clear" w:color="auto" w:fill="5B9BD5" w:themeFill="accent5"/>
                </w:tcPr>
                <w:p w14:paraId="39E851B6" w14:textId="77777777" w:rsidR="00AE0A27" w:rsidRPr="00225197" w:rsidRDefault="00AE0A27" w:rsidP="00EB4077">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5B9BD5" w:themeFill="accent5"/>
                </w:tcPr>
                <w:p w14:paraId="20937DAC" w14:textId="77777777" w:rsidR="00AE0A27" w:rsidRPr="00225197"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rPr>
                    <w:t>Amount</w:t>
                  </w:r>
                </w:p>
              </w:tc>
            </w:tr>
            <w:tr w:rsidR="00AE0A27" w:rsidRPr="00225197" w14:paraId="5F755671"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6C6DB88A" w14:textId="77777777" w:rsidR="00AE0A27" w:rsidRPr="00A5499D" w:rsidRDefault="00AE0A27" w:rsidP="00EB4077">
                  <w:pPr>
                    <w:rPr>
                      <w:rFonts w:ascii="Calibri" w:eastAsia="Calibri" w:hAnsi="Calibri" w:cs="Calibri"/>
                      <w:i/>
                      <w:iCs/>
                    </w:rPr>
                  </w:pPr>
                  <w:r w:rsidRPr="00A5499D">
                    <w:rPr>
                      <w:rFonts w:ascii="Calibri" w:eastAsia="Calibri" w:hAnsi="Calibri" w:cs="Calibri"/>
                      <w:i/>
                      <w:iCs/>
                    </w:rPr>
                    <w:t>School Sports Victoria membership</w:t>
                  </w:r>
                </w:p>
              </w:tc>
              <w:tc>
                <w:tcPr>
                  <w:tcW w:w="1606" w:type="dxa"/>
                  <w:vAlign w:val="center"/>
                </w:tcPr>
                <w:p w14:paraId="484D7B05" w14:textId="77777777" w:rsidR="00AE0A27" w:rsidRPr="00A5499D"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5499D">
                    <w:rPr>
                      <w:rFonts w:ascii="Calibri" w:eastAsia="Calibri" w:hAnsi="Calibri" w:cs="Calibri"/>
                    </w:rPr>
                    <w:t>$5</w:t>
                  </w:r>
                </w:p>
              </w:tc>
            </w:tr>
            <w:tr w:rsidR="00AE0A27" w:rsidRPr="00225197" w14:paraId="758C8C30"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33820EE9" w14:textId="77777777" w:rsidR="00AE0A27" w:rsidRPr="00A5499D" w:rsidRDefault="00AE0A27" w:rsidP="00EB4077">
                  <w:pPr>
                    <w:rPr>
                      <w:rFonts w:ascii="Calibri" w:hAnsi="Calibri" w:cs="Calibri"/>
                    </w:rPr>
                  </w:pPr>
                  <w:r w:rsidRPr="00A5499D">
                    <w:rPr>
                      <w:rFonts w:ascii="Calibri" w:eastAsia="Calibri" w:hAnsi="Calibri" w:cs="Calibri"/>
                      <w:i/>
                      <w:iCs/>
                    </w:rPr>
                    <w:t>Student wellbeing programs</w:t>
                  </w:r>
                </w:p>
              </w:tc>
              <w:tc>
                <w:tcPr>
                  <w:tcW w:w="1606" w:type="dxa"/>
                  <w:vAlign w:val="center"/>
                </w:tcPr>
                <w:p w14:paraId="1F82BCAA" w14:textId="77777777" w:rsidR="00AE0A27" w:rsidRPr="00A5499D"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5499D">
                    <w:rPr>
                      <w:rFonts w:ascii="Calibri" w:eastAsia="Calibri" w:hAnsi="Calibri" w:cs="Calibri"/>
                    </w:rPr>
                    <w:t>$20</w:t>
                  </w:r>
                </w:p>
              </w:tc>
            </w:tr>
            <w:tr w:rsidR="00AE0A27" w:rsidRPr="00225197" w14:paraId="5F849CF1"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2BEB03C0" w14:textId="77777777" w:rsidR="00AE0A27" w:rsidRPr="00A5499D" w:rsidRDefault="00AE0A27" w:rsidP="00EB4077">
                  <w:pPr>
                    <w:rPr>
                      <w:rFonts w:ascii="Calibri" w:hAnsi="Calibri" w:cs="Calibri"/>
                    </w:rPr>
                  </w:pPr>
                  <w:r w:rsidRPr="00A5499D">
                    <w:rPr>
                      <w:rFonts w:ascii="Calibri" w:eastAsia="Calibri" w:hAnsi="Calibri" w:cs="Calibri"/>
                      <w:i/>
                      <w:iCs/>
                    </w:rPr>
                    <w:t>First aid equipment</w:t>
                  </w:r>
                </w:p>
              </w:tc>
              <w:tc>
                <w:tcPr>
                  <w:tcW w:w="1606" w:type="dxa"/>
                  <w:vAlign w:val="center"/>
                </w:tcPr>
                <w:p w14:paraId="71FBAF65" w14:textId="77777777" w:rsidR="00AE0A27" w:rsidRPr="00A5499D"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5499D">
                    <w:rPr>
                      <w:rFonts w:ascii="Calibri" w:eastAsia="Calibri" w:hAnsi="Calibri" w:cs="Calibri"/>
                    </w:rPr>
                    <w:t>$5</w:t>
                  </w:r>
                </w:p>
              </w:tc>
            </w:tr>
            <w:tr w:rsidR="00AE0A27" w:rsidRPr="00225197" w14:paraId="1BE7317C" w14:textId="77777777" w:rsidTr="00EB4077">
              <w:tc>
                <w:tcPr>
                  <w:cnfStyle w:val="001000000000" w:firstRow="0" w:lastRow="0" w:firstColumn="1" w:lastColumn="0" w:oddVBand="0" w:evenVBand="0" w:oddHBand="0" w:evenHBand="0" w:firstRowFirstColumn="0" w:firstRowLastColumn="0" w:lastRowFirstColumn="0" w:lastRowLastColumn="0"/>
                  <w:tcW w:w="8024" w:type="dxa"/>
                </w:tcPr>
                <w:p w14:paraId="7D85AF13" w14:textId="77777777" w:rsidR="00AE0A27" w:rsidRPr="00A5499D" w:rsidRDefault="00AE0A27" w:rsidP="00EB4077">
                  <w:pPr>
                    <w:rPr>
                      <w:rFonts w:ascii="Calibri" w:hAnsi="Calibri" w:cs="Calibri"/>
                    </w:rPr>
                  </w:pPr>
                  <w:r w:rsidRPr="00A5499D">
                    <w:rPr>
                      <w:rFonts w:ascii="Calibri" w:eastAsia="Calibri" w:hAnsi="Calibri" w:cs="Calibri"/>
                      <w:i/>
                      <w:iCs/>
                    </w:rPr>
                    <w:t>School grounds maintenance and improvements</w:t>
                  </w:r>
                </w:p>
              </w:tc>
              <w:tc>
                <w:tcPr>
                  <w:tcW w:w="1606" w:type="dxa"/>
                  <w:vAlign w:val="center"/>
                </w:tcPr>
                <w:p w14:paraId="0C9A70D4" w14:textId="77777777" w:rsidR="00AE0A27" w:rsidRPr="00A5499D" w:rsidRDefault="00AE0A27" w:rsidP="00EB40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5499D">
                    <w:rPr>
                      <w:rFonts w:ascii="Calibri" w:eastAsia="Calibri" w:hAnsi="Calibri" w:cs="Calibri"/>
                    </w:rPr>
                    <w:t>$20</w:t>
                  </w:r>
                </w:p>
              </w:tc>
            </w:tr>
          </w:tbl>
          <w:p w14:paraId="0F622BEE" w14:textId="77777777" w:rsidR="00AE0A27" w:rsidRDefault="00AE0A27" w:rsidP="00EB4077"/>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24"/>
              <w:gridCol w:w="1606"/>
            </w:tblGrid>
            <w:tr w:rsidR="00AE0A27" w:rsidRPr="00225197" w14:paraId="237C03D9" w14:textId="77777777" w:rsidTr="00EB40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443C00AF" w14:textId="77777777" w:rsidR="00AE0A27" w:rsidRPr="00E77D31" w:rsidRDefault="00AE0A27" w:rsidP="00EB4077">
                  <w:pPr>
                    <w:rPr>
                      <w:rFonts w:ascii="Calibri" w:hAnsi="Calibri" w:cs="Calibri"/>
                    </w:rPr>
                  </w:pPr>
                  <w:r w:rsidRPr="00225197">
                    <w:rPr>
                      <w:rFonts w:ascii="Calibri" w:eastAsia="Arial" w:hAnsi="Calibri" w:cs="Calibri"/>
                      <w:b/>
                      <w:bCs/>
                      <w:color w:val="44546A" w:themeColor="text2"/>
                    </w:rPr>
                    <w:t>Total Amount</w:t>
                  </w:r>
                </w:p>
              </w:tc>
              <w:tc>
                <w:tcPr>
                  <w:tcW w:w="1606" w:type="dxa"/>
                  <w:shd w:val="clear" w:color="auto" w:fill="D9D9D9" w:themeFill="background1" w:themeFillShade="D9"/>
                  <w:vAlign w:val="center"/>
                </w:tcPr>
                <w:p w14:paraId="4CF30E65" w14:textId="6A801582" w:rsidR="00AE0A27" w:rsidRPr="00225197" w:rsidRDefault="00AE0A27" w:rsidP="00EB40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44546A" w:themeColor="text2"/>
                    </w:rPr>
                    <w:t>$</w:t>
                  </w:r>
                  <w:r w:rsidR="00D06047">
                    <w:rPr>
                      <w:rFonts w:ascii="Calibri" w:eastAsia="Calibri" w:hAnsi="Calibri" w:cs="Calibri"/>
                      <w:b/>
                      <w:bCs/>
                      <w:color w:val="44546A" w:themeColor="text2"/>
                    </w:rPr>
                    <w:t>20</w:t>
                  </w:r>
                  <w:r>
                    <w:rPr>
                      <w:rFonts w:ascii="Calibri" w:eastAsia="Calibri" w:hAnsi="Calibri" w:cs="Calibri"/>
                      <w:b/>
                      <w:bCs/>
                      <w:color w:val="44546A" w:themeColor="text2"/>
                    </w:rPr>
                    <w:t>0</w:t>
                  </w:r>
                </w:p>
              </w:tc>
            </w:tr>
          </w:tbl>
          <w:p w14:paraId="67AC566D" w14:textId="77777777" w:rsidR="00AE0A27" w:rsidRDefault="00AE0A27" w:rsidP="00EB4077">
            <w:pPr>
              <w:pStyle w:val="Heading3"/>
              <w:rPr>
                <w:rFonts w:ascii="Calibri" w:eastAsia="Calibri" w:hAnsi="Calibri" w:cs="Calibri"/>
                <w:color w:val="auto"/>
                <w:sz w:val="22"/>
                <w:szCs w:val="22"/>
              </w:rPr>
            </w:pPr>
          </w:p>
          <w:p w14:paraId="597C6F15" w14:textId="77777777" w:rsidR="00AE0A27" w:rsidRPr="00F72312" w:rsidRDefault="00AE0A27" w:rsidP="00EB4077">
            <w:pPr>
              <w:rPr>
                <w:rFonts w:ascii="Calibri" w:hAnsi="Calibri" w:cs="Calibri"/>
              </w:rPr>
            </w:pPr>
            <w:r>
              <w:rPr>
                <w:rFonts w:ascii="Calibri" w:eastAsia="Calibri" w:hAnsi="Calibri" w:cs="Calibri"/>
              </w:rPr>
              <w:t xml:space="preserve"> </w:t>
            </w:r>
          </w:p>
          <w:p w14:paraId="15BE7084" w14:textId="77777777" w:rsidR="00AE0A27" w:rsidRDefault="00AE0A27" w:rsidP="00EB4077">
            <w:pPr>
              <w:rPr>
                <w:lang w:val="en-US"/>
              </w:rPr>
            </w:pPr>
          </w:p>
        </w:tc>
      </w:tr>
    </w:tbl>
    <w:p w14:paraId="06F9C341" w14:textId="77777777" w:rsidR="00AE0A27" w:rsidRDefault="00AE0A27" w:rsidP="00AE0A27">
      <w:pPr>
        <w:rPr>
          <w:lang w:val="en-US"/>
        </w:rPr>
      </w:pPr>
    </w:p>
    <w:p w14:paraId="36C43941" w14:textId="77777777" w:rsidR="00AE0A27" w:rsidRDefault="00AE0A27" w:rsidP="00AE0A27"/>
    <w:p w14:paraId="41F77FE0" w14:textId="5E1A54BF" w:rsidR="007636BE" w:rsidRDefault="007636BE">
      <w:pPr>
        <w:rPr>
          <w:rFonts w:asciiTheme="majorHAnsi" w:hAnsiTheme="majorHAnsi" w:cstheme="majorHAnsi"/>
          <w:sz w:val="20"/>
          <w:szCs w:val="20"/>
        </w:rPr>
      </w:pPr>
      <w:r>
        <w:rPr>
          <w:rFonts w:asciiTheme="majorHAnsi" w:hAnsiTheme="majorHAnsi" w:cstheme="majorHAnsi"/>
          <w:sz w:val="20"/>
          <w:szCs w:val="20"/>
        </w:rPr>
        <w:br w:type="page"/>
      </w:r>
    </w:p>
    <w:p w14:paraId="7E29B498" w14:textId="77777777" w:rsidR="007636BE" w:rsidRPr="000705E5" w:rsidRDefault="007636BE" w:rsidP="007636BE">
      <w:pPr>
        <w:keepNext/>
        <w:keepLines/>
        <w:tabs>
          <w:tab w:val="left" w:pos="195"/>
          <w:tab w:val="left" w:pos="450"/>
          <w:tab w:val="left" w:pos="2190"/>
        </w:tabs>
        <w:spacing w:before="240"/>
        <w:contextualSpacing/>
        <w:outlineLvl w:val="0"/>
        <w:rPr>
          <w:rFonts w:ascii="Calibri" w:eastAsia="MS PGothic" w:hAnsi="Calibri" w:cs="Calibri"/>
          <w:b/>
          <w:caps/>
          <w:color w:val="4472C4" w:themeColor="accent1"/>
          <w:sz w:val="44"/>
          <w:szCs w:val="32"/>
        </w:rPr>
      </w:pPr>
      <w:r>
        <w:rPr>
          <w:rFonts w:ascii="Calibri" w:eastAsia="MS PGothic" w:hAnsi="Calibri" w:cs="Calibri"/>
          <w:b/>
          <w:caps/>
          <w:color w:val="4472C4" w:themeColor="accent1"/>
          <w:sz w:val="44"/>
          <w:szCs w:val="32"/>
        </w:rPr>
        <w:lastRenderedPageBreak/>
        <w:t>P</w:t>
      </w:r>
      <w:r w:rsidRPr="000705E5">
        <w:rPr>
          <w:rFonts w:ascii="Calibri" w:eastAsia="MS PGothic" w:hAnsi="Calibri" w:cs="Calibri"/>
          <w:b/>
          <w:caps/>
          <w:color w:val="4472C4" w:themeColor="accent1"/>
          <w:sz w:val="44"/>
          <w:szCs w:val="32"/>
        </w:rPr>
        <w:t xml:space="preserve">arent PAYMENTS policy </w:t>
      </w:r>
    </w:p>
    <w:p w14:paraId="21021B50" w14:textId="77777777" w:rsidR="007636BE" w:rsidRPr="000705E5" w:rsidRDefault="007636BE" w:rsidP="007636BE">
      <w:pPr>
        <w:keepNext/>
        <w:keepLines/>
        <w:spacing w:before="120" w:after="240"/>
        <w:outlineLvl w:val="0"/>
        <w:rPr>
          <w:rFonts w:ascii="Calibri" w:eastAsia="MS PGothic" w:hAnsi="Calibri" w:cs="Calibri"/>
          <w:b/>
          <w:caps/>
          <w:color w:val="4472C4" w:themeColor="accent1"/>
          <w:sz w:val="44"/>
          <w:szCs w:val="32"/>
        </w:rPr>
      </w:pPr>
      <w:r w:rsidRPr="000705E5">
        <w:rPr>
          <w:rFonts w:ascii="Calibri" w:eastAsia="MS PGothic" w:hAnsi="Calibri" w:cs="Calibri"/>
          <w:b/>
          <w:caps/>
          <w:color w:val="4472C4" w:themeColor="accent1"/>
          <w:sz w:val="28"/>
          <w:szCs w:val="28"/>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7636BE" w:rsidRPr="00704A7B" w14:paraId="25C7471B" w14:textId="77777777" w:rsidTr="00EB407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68DE9BB6" w14:textId="77777777" w:rsidR="007636BE" w:rsidRPr="00704A7B" w:rsidRDefault="007636BE" w:rsidP="00EB4077">
            <w:pPr>
              <w:jc w:val="center"/>
              <w:rPr>
                <w:rFonts w:ascii="Calibri" w:eastAsia="Arial" w:hAnsi="Calibri" w:cs="Calibri"/>
                <w:color w:val="auto"/>
                <w:szCs w:val="20"/>
              </w:rPr>
            </w:pPr>
            <w:r w:rsidRPr="00704A7B">
              <w:rPr>
                <w:rFonts w:ascii="Calibri" w:eastAsia="Arial" w:hAnsi="Calibri" w:cs="Calibri"/>
                <w:noProof/>
                <w:lang w:eastAsia="en-AU"/>
              </w:rPr>
              <w:drawing>
                <wp:inline distT="0" distB="0" distL="0" distR="0" wp14:anchorId="6FBA6004" wp14:editId="5C0264E6">
                  <wp:extent cx="605468" cy="652444"/>
                  <wp:effectExtent l="0" t="0" r="4445"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3F08722E" w14:textId="77777777" w:rsidR="007636BE" w:rsidRPr="00704A7B" w:rsidRDefault="007636BE" w:rsidP="00EB407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211191D" w14:textId="77777777" w:rsidR="007636BE" w:rsidRPr="00704A7B" w:rsidRDefault="007636BE" w:rsidP="007636BE">
            <w:pPr>
              <w:numPr>
                <w:ilvl w:val="0"/>
                <w:numId w:val="18"/>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24FD558A" w14:textId="77777777" w:rsidR="007636BE" w:rsidRPr="00704A7B" w:rsidRDefault="007636BE" w:rsidP="007636BE">
            <w:pPr>
              <w:numPr>
                <w:ilvl w:val="0"/>
                <w:numId w:val="18"/>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68FFA495" w14:textId="77777777" w:rsidR="007636BE" w:rsidRPr="009746CC" w:rsidRDefault="007636BE" w:rsidP="007636BE">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7636BE" w:rsidRPr="00704A7B" w14:paraId="1C942747" w14:textId="77777777" w:rsidTr="00EB407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3259D6CD" w14:textId="77777777" w:rsidR="007636BE" w:rsidRPr="00704A7B" w:rsidRDefault="007636BE" w:rsidP="00EB4077">
            <w:pPr>
              <w:jc w:val="center"/>
              <w:rPr>
                <w:rFonts w:ascii="Calibri" w:eastAsia="Arial" w:hAnsi="Calibri" w:cs="Calibri"/>
                <w:color w:val="auto"/>
                <w:szCs w:val="20"/>
              </w:rPr>
            </w:pPr>
            <w:r w:rsidRPr="00704A7B">
              <w:rPr>
                <w:rFonts w:ascii="Calibri" w:eastAsia="Arial" w:hAnsi="Calibri" w:cs="Calibri"/>
                <w:noProof/>
                <w:szCs w:val="20"/>
                <w:lang w:eastAsia="en-AU"/>
              </w:rPr>
              <w:drawing>
                <wp:inline distT="0" distB="0" distL="0" distR="0" wp14:anchorId="62E5B7AD" wp14:editId="21C445CF">
                  <wp:extent cx="665018" cy="563120"/>
                  <wp:effectExtent l="0" t="0" r="1905" b="8890"/>
                  <wp:docPr id="3"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B9234D0" w14:textId="77777777" w:rsidR="007636BE" w:rsidRPr="00704A7B" w:rsidRDefault="007636BE" w:rsidP="00EB407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7300EE32" w14:textId="77777777" w:rsidR="007636BE" w:rsidRPr="00704A7B" w:rsidRDefault="007636BE" w:rsidP="00EB407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0"/>
              <w:gridCol w:w="2680"/>
              <w:gridCol w:w="2657"/>
            </w:tblGrid>
            <w:tr w:rsidR="007636BE" w:rsidRPr="00704A7B" w14:paraId="31C14972" w14:textId="77777777" w:rsidTr="00EB4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05BEDDD1" w14:textId="77777777" w:rsidR="007636BE" w:rsidRPr="00704A7B" w:rsidRDefault="007636BE" w:rsidP="00EB407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65052E7" w14:textId="77777777" w:rsidR="007636BE" w:rsidRPr="00704A7B" w:rsidRDefault="007636BE" w:rsidP="00EB407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2890F54" w14:textId="77777777" w:rsidR="007636BE" w:rsidRPr="00704A7B" w:rsidRDefault="007636BE" w:rsidP="00EB407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F1DF82F" w14:textId="77777777" w:rsidR="007636BE" w:rsidRPr="00704A7B" w:rsidRDefault="007636BE" w:rsidP="00EB407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6BC707C7" w14:textId="77777777" w:rsidR="007636BE" w:rsidRPr="00704A7B" w:rsidRDefault="007636BE" w:rsidP="00EB407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4D823BED" w14:textId="77777777" w:rsidR="007636BE" w:rsidRPr="00704A7B" w:rsidRDefault="007636BE" w:rsidP="00EB407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1841DCD3" w14:textId="77777777" w:rsidR="007636BE" w:rsidRPr="00704A7B" w:rsidRDefault="007636BE" w:rsidP="00EB407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5F2B5621" w14:textId="77777777" w:rsidR="007636BE" w:rsidRPr="00704A7B" w:rsidRDefault="007636BE" w:rsidP="007636BE">
            <w:pPr>
              <w:numPr>
                <w:ilvl w:val="0"/>
                <w:numId w:val="19"/>
              </w:numPr>
              <w:spacing w:after="120"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7AB388DC" w14:textId="77777777" w:rsidR="007636BE" w:rsidRPr="009746CC" w:rsidRDefault="007636BE" w:rsidP="007636BE">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7636BE" w:rsidRPr="00704A7B" w14:paraId="42DBDB0E" w14:textId="77777777" w:rsidTr="00EB407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5496575B" w14:textId="77777777" w:rsidR="007636BE" w:rsidRPr="00704A7B" w:rsidRDefault="007636BE" w:rsidP="00EB4077">
            <w:pPr>
              <w:jc w:val="center"/>
              <w:rPr>
                <w:rFonts w:ascii="Calibri" w:eastAsia="Arial" w:hAnsi="Calibri" w:cs="Calibri"/>
                <w:color w:val="auto"/>
                <w:szCs w:val="20"/>
              </w:rPr>
            </w:pPr>
            <w:r w:rsidRPr="00225197">
              <w:rPr>
                <w:rFonts w:ascii="Calibri" w:hAnsi="Calibri" w:cs="Calibri"/>
                <w:noProof/>
                <w:lang w:eastAsia="en-AU"/>
              </w:rPr>
              <w:drawing>
                <wp:inline distT="0" distB="0" distL="0" distR="0" wp14:anchorId="01B6E780" wp14:editId="00FB3770">
                  <wp:extent cx="626745" cy="551445"/>
                  <wp:effectExtent l="0" t="0" r="1905" b="1270"/>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26A22C94" w14:textId="77777777" w:rsidR="007636BE" w:rsidRPr="00704A7B" w:rsidRDefault="007636BE" w:rsidP="00EB407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36950089" w14:textId="77777777" w:rsidR="007636BE" w:rsidRPr="00704A7B" w:rsidRDefault="007636BE" w:rsidP="007636BE">
            <w:pPr>
              <w:numPr>
                <w:ilvl w:val="0"/>
                <w:numId w:val="17"/>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D424849" w14:textId="77777777" w:rsidR="007636BE" w:rsidRPr="00704A7B" w:rsidRDefault="007636BE" w:rsidP="007636BE">
            <w:pPr>
              <w:numPr>
                <w:ilvl w:val="0"/>
                <w:numId w:val="17"/>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076F8D51" w14:textId="77777777" w:rsidR="007636BE" w:rsidRPr="009746CC" w:rsidRDefault="007636BE" w:rsidP="007636BE">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7636BE" w:rsidRPr="00704A7B" w14:paraId="6B439C45" w14:textId="77777777" w:rsidTr="00EB407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5D8D1F1C" w14:textId="77777777" w:rsidR="007636BE" w:rsidRPr="00704A7B" w:rsidRDefault="007636BE" w:rsidP="00EB4077">
            <w:pPr>
              <w:jc w:val="center"/>
              <w:rPr>
                <w:rFonts w:ascii="Calibri" w:eastAsia="Arial" w:hAnsi="Calibri" w:cs="Calibri"/>
                <w:color w:val="auto"/>
                <w:szCs w:val="20"/>
              </w:rPr>
            </w:pPr>
            <w:r w:rsidRPr="00704A7B">
              <w:rPr>
                <w:rFonts w:ascii="Calibri" w:eastAsia="Arial" w:hAnsi="Calibri" w:cs="Calibri"/>
                <w:noProof/>
                <w:lang w:eastAsia="en-AU"/>
              </w:rPr>
              <w:drawing>
                <wp:inline distT="0" distB="0" distL="0" distR="0" wp14:anchorId="6BC93F31" wp14:editId="228A1BAF">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9EF6857" w14:textId="77777777" w:rsidR="007636BE" w:rsidRPr="00704A7B" w:rsidRDefault="007636BE" w:rsidP="00EB407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40828C0D" w14:textId="77777777" w:rsidR="007636BE" w:rsidRPr="00704A7B" w:rsidRDefault="007636BE" w:rsidP="007636BE">
            <w:pPr>
              <w:numPr>
                <w:ilvl w:val="0"/>
                <w:numId w:val="19"/>
              </w:numPr>
              <w:spacing w:after="120"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BCF0332" w14:textId="77777777" w:rsidR="007636BE" w:rsidRDefault="007636BE" w:rsidP="007636BE"/>
    <w:p w14:paraId="5E9B12B6" w14:textId="77777777" w:rsidR="007349A2" w:rsidRPr="000F7C62" w:rsidRDefault="007349A2" w:rsidP="00DA4F9F">
      <w:pPr>
        <w:rPr>
          <w:rFonts w:asciiTheme="majorHAnsi" w:hAnsiTheme="majorHAnsi" w:cstheme="majorHAnsi"/>
          <w:sz w:val="20"/>
          <w:szCs w:val="20"/>
        </w:rPr>
      </w:pPr>
    </w:p>
    <w:sectPr w:rsidR="007349A2" w:rsidRPr="000F7C62">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34BD" w14:textId="77777777" w:rsidR="00FC7508" w:rsidRDefault="00FC7508" w:rsidP="00A37BA0">
      <w:pPr>
        <w:spacing w:after="0" w:line="240" w:lineRule="auto"/>
      </w:pPr>
      <w:r>
        <w:separator/>
      </w:r>
    </w:p>
  </w:endnote>
  <w:endnote w:type="continuationSeparator" w:id="0">
    <w:p w14:paraId="1627051C" w14:textId="77777777" w:rsidR="00FC7508" w:rsidRDefault="00FC7508" w:rsidP="00A3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261A" w14:textId="77777777" w:rsidR="00A37BA0" w:rsidRPr="003E29B5" w:rsidRDefault="00A37BA0" w:rsidP="008766A4">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9C1F" w14:textId="77777777" w:rsidR="00FC7508" w:rsidRDefault="00FC7508" w:rsidP="00A37BA0">
      <w:pPr>
        <w:spacing w:after="0" w:line="240" w:lineRule="auto"/>
      </w:pPr>
      <w:r>
        <w:separator/>
      </w:r>
    </w:p>
  </w:footnote>
  <w:footnote w:type="continuationSeparator" w:id="0">
    <w:p w14:paraId="38D9BCD8" w14:textId="77777777" w:rsidR="00FC7508" w:rsidRDefault="00FC7508" w:rsidP="00A37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B1E"/>
    <w:multiLevelType w:val="multilevel"/>
    <w:tmpl w:val="B5DA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3" w15:restartNumberingAfterBreak="0">
    <w:nsid w:val="0531650F"/>
    <w:multiLevelType w:val="multilevel"/>
    <w:tmpl w:val="7956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76180"/>
    <w:multiLevelType w:val="multilevel"/>
    <w:tmpl w:val="7B2E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FB0EB4"/>
    <w:multiLevelType w:val="multilevel"/>
    <w:tmpl w:val="76D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7" w15:restartNumberingAfterBreak="0">
    <w:nsid w:val="1FE95303"/>
    <w:multiLevelType w:val="multilevel"/>
    <w:tmpl w:val="D1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90D78"/>
    <w:multiLevelType w:val="multilevel"/>
    <w:tmpl w:val="CEA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509BB"/>
    <w:multiLevelType w:val="multilevel"/>
    <w:tmpl w:val="0A8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D633F0"/>
    <w:multiLevelType w:val="multilevel"/>
    <w:tmpl w:val="9140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2A42BB"/>
    <w:multiLevelType w:val="multilevel"/>
    <w:tmpl w:val="8840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B907A7"/>
    <w:multiLevelType w:val="multilevel"/>
    <w:tmpl w:val="846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674A67"/>
    <w:multiLevelType w:val="multilevel"/>
    <w:tmpl w:val="1F08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3B0C4F"/>
    <w:multiLevelType w:val="hybridMultilevel"/>
    <w:tmpl w:val="90D249DA"/>
    <w:lvl w:ilvl="0" w:tplc="C18CCE2C">
      <w:start w:val="1"/>
      <w:numFmt w:val="bullet"/>
      <w:lvlText w:val=""/>
      <w:lvlJc w:val="left"/>
      <w:pPr>
        <w:ind w:left="720" w:hanging="360"/>
      </w:pPr>
      <w:rPr>
        <w:rFonts w:ascii="Symbol" w:hAnsi="Symbol" w:hint="default"/>
        <w:color w:val="auto"/>
      </w:rPr>
    </w:lvl>
    <w:lvl w:ilvl="1" w:tplc="86EEE174">
      <w:start w:val="1"/>
      <w:numFmt w:val="bullet"/>
      <w:lvlText w:val="o"/>
      <w:lvlJc w:val="left"/>
      <w:pPr>
        <w:ind w:left="1440" w:hanging="360"/>
      </w:pPr>
      <w:rPr>
        <w:rFonts w:ascii="Courier New" w:hAnsi="Courier New" w:cs="Times New Roman"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cs="Times New Roman"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cs="Times New Roman" w:hint="default"/>
      </w:rPr>
    </w:lvl>
    <w:lvl w:ilvl="8" w:tplc="506219B2">
      <w:start w:val="1"/>
      <w:numFmt w:val="bullet"/>
      <w:lvlText w:val=""/>
      <w:lvlJc w:val="left"/>
      <w:pPr>
        <w:ind w:left="6480" w:hanging="360"/>
      </w:pPr>
      <w:rPr>
        <w:rFonts w:ascii="Wingdings" w:hAnsi="Wingdings" w:hint="default"/>
      </w:rPr>
    </w:lvl>
  </w:abstractNum>
  <w:abstractNum w:abstractNumId="16" w15:restartNumberingAfterBreak="0">
    <w:nsid w:val="4B6A5DF1"/>
    <w:multiLevelType w:val="multilevel"/>
    <w:tmpl w:val="5422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406710"/>
    <w:multiLevelType w:val="multilevel"/>
    <w:tmpl w:val="36C81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55F61"/>
    <w:multiLevelType w:val="multilevel"/>
    <w:tmpl w:val="9A10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97B28"/>
    <w:multiLevelType w:val="multilevel"/>
    <w:tmpl w:val="EE5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A609DB"/>
    <w:multiLevelType w:val="multilevel"/>
    <w:tmpl w:val="83B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28685B"/>
    <w:multiLevelType w:val="multilevel"/>
    <w:tmpl w:val="8372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A57A08"/>
    <w:multiLevelType w:val="multilevel"/>
    <w:tmpl w:val="AC082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556C3E"/>
    <w:multiLevelType w:val="multilevel"/>
    <w:tmpl w:val="B1686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173A2B"/>
    <w:multiLevelType w:val="multilevel"/>
    <w:tmpl w:val="6A3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8B536D"/>
    <w:multiLevelType w:val="hybridMultilevel"/>
    <w:tmpl w:val="67C2EEF2"/>
    <w:lvl w:ilvl="0" w:tplc="33AE2C20">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7B53E3"/>
    <w:multiLevelType w:val="multilevel"/>
    <w:tmpl w:val="EC48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E83639"/>
    <w:multiLevelType w:val="multilevel"/>
    <w:tmpl w:val="C808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013A1"/>
    <w:multiLevelType w:val="hybridMultilevel"/>
    <w:tmpl w:val="16A642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711345184">
    <w:abstractNumId w:val="27"/>
  </w:num>
  <w:num w:numId="2" w16cid:durableId="271086592">
    <w:abstractNumId w:val="10"/>
  </w:num>
  <w:num w:numId="3" w16cid:durableId="1447962908">
    <w:abstractNumId w:val="7"/>
  </w:num>
  <w:num w:numId="4" w16cid:durableId="169178519">
    <w:abstractNumId w:val="3"/>
  </w:num>
  <w:num w:numId="5" w16cid:durableId="1141968728">
    <w:abstractNumId w:val="13"/>
  </w:num>
  <w:num w:numId="6" w16cid:durableId="1910532084">
    <w:abstractNumId w:val="4"/>
  </w:num>
  <w:num w:numId="7" w16cid:durableId="1438333940">
    <w:abstractNumId w:val="16"/>
  </w:num>
  <w:num w:numId="8" w16cid:durableId="770589614">
    <w:abstractNumId w:val="18"/>
  </w:num>
  <w:num w:numId="9" w16cid:durableId="1144539368">
    <w:abstractNumId w:val="22"/>
  </w:num>
  <w:num w:numId="10" w16cid:durableId="1243098152">
    <w:abstractNumId w:val="20"/>
  </w:num>
  <w:num w:numId="11" w16cid:durableId="2145417826">
    <w:abstractNumId w:val="8"/>
  </w:num>
  <w:num w:numId="12" w16cid:durableId="1972202208">
    <w:abstractNumId w:val="6"/>
  </w:num>
  <w:num w:numId="13" w16cid:durableId="595404704">
    <w:abstractNumId w:val="1"/>
  </w:num>
  <w:num w:numId="14" w16cid:durableId="2045129153">
    <w:abstractNumId w:val="30"/>
  </w:num>
  <w:num w:numId="15" w16cid:durableId="16740724">
    <w:abstractNumId w:val="25"/>
  </w:num>
  <w:num w:numId="16" w16cid:durableId="844782383">
    <w:abstractNumId w:val="29"/>
  </w:num>
  <w:num w:numId="17" w16cid:durableId="1134253653">
    <w:abstractNumId w:val="26"/>
  </w:num>
  <w:num w:numId="18" w16cid:durableId="877470264">
    <w:abstractNumId w:val="2"/>
  </w:num>
  <w:num w:numId="19" w16cid:durableId="1284577140">
    <w:abstractNumId w:val="14"/>
  </w:num>
  <w:num w:numId="20" w16cid:durableId="1184855596">
    <w:abstractNumId w:val="15"/>
  </w:num>
  <w:num w:numId="21" w16cid:durableId="1425301772">
    <w:abstractNumId w:val="17"/>
  </w:num>
  <w:num w:numId="22" w16cid:durableId="1800494598">
    <w:abstractNumId w:val="12"/>
  </w:num>
  <w:num w:numId="23" w16cid:durableId="756950043">
    <w:abstractNumId w:val="24"/>
  </w:num>
  <w:num w:numId="24" w16cid:durableId="1121461721">
    <w:abstractNumId w:val="5"/>
  </w:num>
  <w:num w:numId="25" w16cid:durableId="1204442288">
    <w:abstractNumId w:val="21"/>
  </w:num>
  <w:num w:numId="26" w16cid:durableId="1268735603">
    <w:abstractNumId w:val="0"/>
  </w:num>
  <w:num w:numId="27" w16cid:durableId="862982401">
    <w:abstractNumId w:val="19"/>
  </w:num>
  <w:num w:numId="28" w16cid:durableId="1146509292">
    <w:abstractNumId w:val="28"/>
  </w:num>
  <w:num w:numId="29" w16cid:durableId="351952298">
    <w:abstractNumId w:val="23"/>
  </w:num>
  <w:num w:numId="30" w16cid:durableId="1947808437">
    <w:abstractNumId w:val="9"/>
  </w:num>
  <w:num w:numId="31" w16cid:durableId="862791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A0"/>
    <w:rsid w:val="000627E9"/>
    <w:rsid w:val="000F7C62"/>
    <w:rsid w:val="00172FFD"/>
    <w:rsid w:val="002040BB"/>
    <w:rsid w:val="002171A4"/>
    <w:rsid w:val="00223E91"/>
    <w:rsid w:val="002374E5"/>
    <w:rsid w:val="002E38C2"/>
    <w:rsid w:val="00346999"/>
    <w:rsid w:val="005B1A4A"/>
    <w:rsid w:val="005F2658"/>
    <w:rsid w:val="007153FA"/>
    <w:rsid w:val="00727A4E"/>
    <w:rsid w:val="00733C54"/>
    <w:rsid w:val="007349A2"/>
    <w:rsid w:val="007636BE"/>
    <w:rsid w:val="007D0613"/>
    <w:rsid w:val="007E6029"/>
    <w:rsid w:val="00850451"/>
    <w:rsid w:val="008D1576"/>
    <w:rsid w:val="00963317"/>
    <w:rsid w:val="00A2602A"/>
    <w:rsid w:val="00A37BA0"/>
    <w:rsid w:val="00A471CE"/>
    <w:rsid w:val="00AE0A27"/>
    <w:rsid w:val="00B43D45"/>
    <w:rsid w:val="00D06047"/>
    <w:rsid w:val="00D644C2"/>
    <w:rsid w:val="00DA4F9F"/>
    <w:rsid w:val="00DE2C54"/>
    <w:rsid w:val="00DF43AA"/>
    <w:rsid w:val="00EC35FF"/>
    <w:rsid w:val="00FB57AD"/>
    <w:rsid w:val="00FC7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DD11"/>
  <w15:chartTrackingRefBased/>
  <w15:docId w15:val="{A621AAC2-116E-4C48-89C5-BC412725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C62"/>
    <w:pPr>
      <w:keepNext/>
      <w:keepLines/>
      <w:spacing w:before="240" w:after="0"/>
      <w:outlineLvl w:val="0"/>
    </w:pPr>
    <w:rPr>
      <w:rFonts w:asciiTheme="majorHAnsi" w:eastAsiaTheme="majorEastAsia" w:hAnsiTheme="majorHAnsi" w:cstheme="majorBidi"/>
      <w:color w:val="2F5496" w:themeColor="accent1" w:themeShade="BF"/>
      <w:sz w:val="32"/>
      <w:szCs w:val="32"/>
      <w:lang w:eastAsia="en-AU"/>
    </w:rPr>
  </w:style>
  <w:style w:type="paragraph" w:styleId="Heading2">
    <w:name w:val="heading 2"/>
    <w:basedOn w:val="Normal"/>
    <w:link w:val="Heading2Char"/>
    <w:uiPriority w:val="9"/>
    <w:qFormat/>
    <w:rsid w:val="00A37BA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37BA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A37BA0"/>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7BA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37BA0"/>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A37BA0"/>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A37B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A37BA0"/>
  </w:style>
  <w:style w:type="character" w:customStyle="1" w:styleId="rpl-text-icongroup">
    <w:name w:val="rpl-text-icon__group"/>
    <w:basedOn w:val="DefaultParagraphFont"/>
    <w:rsid w:val="00A37BA0"/>
  </w:style>
  <w:style w:type="paragraph" w:styleId="Header">
    <w:name w:val="header"/>
    <w:basedOn w:val="Normal"/>
    <w:link w:val="HeaderChar"/>
    <w:uiPriority w:val="99"/>
    <w:unhideWhenUsed/>
    <w:rsid w:val="00A37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BA0"/>
  </w:style>
  <w:style w:type="paragraph" w:styleId="Footer">
    <w:name w:val="footer"/>
    <w:basedOn w:val="Normal"/>
    <w:link w:val="FooterChar"/>
    <w:uiPriority w:val="99"/>
    <w:unhideWhenUsed/>
    <w:rsid w:val="00A37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A0"/>
  </w:style>
  <w:style w:type="paragraph" w:styleId="Title">
    <w:name w:val="Title"/>
    <w:next w:val="Subtitle"/>
    <w:link w:val="TitleChar"/>
    <w:uiPriority w:val="10"/>
    <w:qFormat/>
    <w:rsid w:val="00A37BA0"/>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A37BA0"/>
    <w:rPr>
      <w:rFonts w:ascii="Arial" w:eastAsiaTheme="majorEastAsia" w:hAnsi="Arial" w:cstheme="majorBidi"/>
      <w:b/>
      <w:color w:val="AF272F"/>
      <w:spacing w:val="5"/>
      <w:kern w:val="28"/>
      <w:sz w:val="44"/>
      <w:szCs w:val="52"/>
      <w:lang w:val="en-US"/>
    </w:rPr>
  </w:style>
  <w:style w:type="paragraph" w:styleId="Subtitle">
    <w:name w:val="Subtitle"/>
    <w:basedOn w:val="Normal"/>
    <w:next w:val="Normal"/>
    <w:link w:val="SubtitleChar"/>
    <w:uiPriority w:val="11"/>
    <w:qFormat/>
    <w:rsid w:val="00A37BA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7BA0"/>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7BA0"/>
    <w:pPr>
      <w:spacing w:after="120" w:line="240" w:lineRule="atLeast"/>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A37BA0"/>
    <w:rPr>
      <w:rFonts w:ascii="Lucida Grande" w:eastAsiaTheme="minorEastAsia" w:hAnsi="Lucida Grande" w:cs="Lucida Grande"/>
      <w:sz w:val="18"/>
      <w:szCs w:val="18"/>
      <w:lang w:val="en-US"/>
    </w:rPr>
  </w:style>
  <w:style w:type="table" w:styleId="TableGrid">
    <w:name w:val="Table Grid"/>
    <w:basedOn w:val="TableNormal"/>
    <w:uiPriority w:val="39"/>
    <w:rsid w:val="00A37BA0"/>
    <w:pPr>
      <w:spacing w:after="0" w:line="240" w:lineRule="auto"/>
    </w:pPr>
    <w:rPr>
      <w:sz w:val="20"/>
      <w:szCs w:val="24"/>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5B9BD5" w:themeFill="accent5"/>
      </w:tcPr>
    </w:tblStylePr>
    <w:tblStylePr w:type="firstCol">
      <w:rPr>
        <w:color w:val="000000" w:themeColor="text1"/>
      </w:rPr>
    </w:tblStyle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A37BA0"/>
    <w:pPr>
      <w:spacing w:after="120" w:line="240" w:lineRule="auto"/>
      <w:ind w:left="720"/>
      <w:contextualSpacing/>
    </w:pPr>
    <w:rPr>
      <w:szCs w:val="24"/>
      <w:lang w:val="en-GB"/>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A37BA0"/>
    <w:rPr>
      <w:szCs w:val="24"/>
      <w:lang w:val="en-GB"/>
    </w:rPr>
  </w:style>
  <w:style w:type="table" w:customStyle="1" w:styleId="TableGrid1">
    <w:name w:val="Table Grid1"/>
    <w:basedOn w:val="TableNormal"/>
    <w:next w:val="TableGrid"/>
    <w:uiPriority w:val="39"/>
    <w:rsid w:val="00A37BA0"/>
    <w:pPr>
      <w:spacing w:after="0" w:line="240" w:lineRule="auto"/>
    </w:pPr>
    <w:rPr>
      <w:sz w:val="20"/>
      <w:szCs w:val="24"/>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Heading1Char">
    <w:name w:val="Heading 1 Char"/>
    <w:basedOn w:val="DefaultParagraphFont"/>
    <w:link w:val="Heading1"/>
    <w:uiPriority w:val="9"/>
    <w:rsid w:val="000F7C62"/>
    <w:rPr>
      <w:rFonts w:asciiTheme="majorHAnsi" w:eastAsiaTheme="majorEastAsia" w:hAnsiTheme="majorHAnsi" w:cstheme="majorBidi"/>
      <w:color w:val="2F5496" w:themeColor="accent1" w:themeShade="BF"/>
      <w:sz w:val="32"/>
      <w:szCs w:val="32"/>
      <w:lang w:eastAsia="en-AU"/>
    </w:rPr>
  </w:style>
  <w:style w:type="paragraph" w:styleId="NoSpacing">
    <w:name w:val="No Spacing"/>
    <w:uiPriority w:val="1"/>
    <w:qFormat/>
    <w:rsid w:val="00DA4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04076">
      <w:bodyDiv w:val="1"/>
      <w:marLeft w:val="0"/>
      <w:marRight w:val="0"/>
      <w:marTop w:val="0"/>
      <w:marBottom w:val="0"/>
      <w:divBdr>
        <w:top w:val="none" w:sz="0" w:space="0" w:color="auto"/>
        <w:left w:val="none" w:sz="0" w:space="0" w:color="auto"/>
        <w:bottom w:val="none" w:sz="0" w:space="0" w:color="auto"/>
        <w:right w:val="none" w:sz="0" w:space="0" w:color="auto"/>
      </w:divBdr>
    </w:div>
    <w:div w:id="611134484">
      <w:bodyDiv w:val="1"/>
      <w:marLeft w:val="0"/>
      <w:marRight w:val="0"/>
      <w:marTop w:val="0"/>
      <w:marBottom w:val="0"/>
      <w:divBdr>
        <w:top w:val="none" w:sz="0" w:space="0" w:color="auto"/>
        <w:left w:val="none" w:sz="0" w:space="0" w:color="auto"/>
        <w:bottom w:val="none" w:sz="0" w:space="0" w:color="auto"/>
        <w:right w:val="none" w:sz="0" w:space="0" w:color="auto"/>
      </w:divBdr>
      <w:divsChild>
        <w:div w:id="269549909">
          <w:marLeft w:val="0"/>
          <w:marRight w:val="0"/>
          <w:marTop w:val="0"/>
          <w:marBottom w:val="0"/>
          <w:divBdr>
            <w:top w:val="none" w:sz="0" w:space="0" w:color="auto"/>
            <w:left w:val="none" w:sz="0" w:space="0" w:color="auto"/>
            <w:bottom w:val="none" w:sz="0" w:space="0" w:color="auto"/>
            <w:right w:val="none" w:sz="0" w:space="0" w:color="auto"/>
          </w:divBdr>
          <w:divsChild>
            <w:div w:id="1826505146">
              <w:marLeft w:val="0"/>
              <w:marRight w:val="0"/>
              <w:marTop w:val="0"/>
              <w:marBottom w:val="0"/>
              <w:divBdr>
                <w:top w:val="none" w:sz="0" w:space="0" w:color="auto"/>
                <w:left w:val="none" w:sz="0" w:space="0" w:color="auto"/>
                <w:bottom w:val="none" w:sz="0" w:space="0" w:color="auto"/>
                <w:right w:val="none" w:sz="0" w:space="0" w:color="auto"/>
              </w:divBdr>
              <w:divsChild>
                <w:div w:id="20469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14580">
      <w:bodyDiv w:val="1"/>
      <w:marLeft w:val="0"/>
      <w:marRight w:val="0"/>
      <w:marTop w:val="0"/>
      <w:marBottom w:val="0"/>
      <w:divBdr>
        <w:top w:val="none" w:sz="0" w:space="0" w:color="auto"/>
        <w:left w:val="none" w:sz="0" w:space="0" w:color="auto"/>
        <w:bottom w:val="none" w:sz="0" w:space="0" w:color="auto"/>
        <w:right w:val="none" w:sz="0" w:space="0" w:color="auto"/>
      </w:divBdr>
    </w:div>
    <w:div w:id="2019886573">
      <w:bodyDiv w:val="1"/>
      <w:marLeft w:val="0"/>
      <w:marRight w:val="0"/>
      <w:marTop w:val="0"/>
      <w:marBottom w:val="0"/>
      <w:divBdr>
        <w:top w:val="none" w:sz="0" w:space="0" w:color="auto"/>
        <w:left w:val="none" w:sz="0" w:space="0" w:color="auto"/>
        <w:bottom w:val="none" w:sz="0" w:space="0" w:color="auto"/>
        <w:right w:val="none" w:sz="0" w:space="0" w:color="auto"/>
      </w:divBdr>
    </w:div>
    <w:div w:id="2030521820">
      <w:bodyDiv w:val="1"/>
      <w:marLeft w:val="0"/>
      <w:marRight w:val="0"/>
      <w:marTop w:val="0"/>
      <w:marBottom w:val="0"/>
      <w:divBdr>
        <w:top w:val="none" w:sz="0" w:space="0" w:color="auto"/>
        <w:left w:val="none" w:sz="0" w:space="0" w:color="auto"/>
        <w:bottom w:val="none" w:sz="0" w:space="0" w:color="auto"/>
        <w:right w:val="none" w:sz="0" w:space="0" w:color="auto"/>
      </w:divBdr>
    </w:div>
    <w:div w:id="21073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financial-help-families/policy" TargetMode="External"/><Relationship Id="rId18" Type="http://schemas.openxmlformats.org/officeDocument/2006/relationships/hyperlink" Target="https://www2.education.vic.gov.au/pal/outside-school-hours-care-decision-making-regarding-provision-oshc/policy" TargetMode="External"/><Relationship Id="rId26" Type="http://schemas.openxmlformats.org/officeDocument/2006/relationships/hyperlink" Target="mailto:parent.payments@education.vic.gov.au" TargetMode="External"/><Relationship Id="rId3" Type="http://schemas.openxmlformats.org/officeDocument/2006/relationships/styles" Target="styles.xml"/><Relationship Id="rId21" Type="http://schemas.openxmlformats.org/officeDocument/2006/relationships/hyperlink" Target="https://www2.education.vic.gov.au/pal/sponsorship/polic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education.vic.gov.au/pal/financial-help-families/policy" TargetMode="External"/><Relationship Id="rId17" Type="http://schemas.openxmlformats.org/officeDocument/2006/relationships/hyperlink" Target="https://www2.education.vic.gov.au/pal/international-student-program/policy" TargetMode="External"/><Relationship Id="rId25" Type="http://schemas.openxmlformats.org/officeDocument/2006/relationships/hyperlink" Target="https://www.legislation.vic.gov.au/in-force/acts/education-and-training-reform-act-200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education.vic.gov.au/pal/financial-help-families/policy" TargetMode="External"/><Relationship Id="rId20" Type="http://schemas.openxmlformats.org/officeDocument/2006/relationships/hyperlink" Target="https://www2.education.vic.gov.au/pal/school-council-powers-and-functions/policy"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parent-payment/guidance" TargetMode="External"/><Relationship Id="rId24" Type="http://schemas.openxmlformats.org/officeDocument/2006/relationships/hyperlink" Target="https://www.legislation.vic.gov.au/in-force/acts/charter-human-rights-and-responsibilities-act-200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2.education.vic.gov.au/pal/finance-manual/policy" TargetMode="External"/><Relationship Id="rId23" Type="http://schemas.openxmlformats.org/officeDocument/2006/relationships/hyperlink" Target="https://www2.education.vic.gov.au/pal/vet-delivered-school-students/policy" TargetMode="External"/><Relationship Id="rId28" Type="http://schemas.openxmlformats.org/officeDocument/2006/relationships/image" Target="media/image3.png"/><Relationship Id="rId10" Type="http://schemas.openxmlformats.org/officeDocument/2006/relationships/hyperlink" Target="https://www2.education.vic.gov.au/pal/financial-help-families/policy" TargetMode="External"/><Relationship Id="rId19" Type="http://schemas.openxmlformats.org/officeDocument/2006/relationships/hyperlink" Target="https://www2.education.vic.gov.au/pal/philanthropic-partnerships/policy"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2.education.vic.gov.au/pal/digital-learning/policy" TargetMode="External"/><Relationship Id="rId22" Type="http://schemas.openxmlformats.org/officeDocument/2006/relationships/hyperlink" Target="https://www2.education.vic.gov.au/pal/student-dress-code/policy" TargetMode="External"/><Relationship Id="rId27" Type="http://schemas.openxmlformats.org/officeDocument/2006/relationships/hyperlink" Target="mailto:schools.finance.support@education.vic.gov.au" TargetMode="External"/><Relationship Id="rId30"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5441-E306-4D77-A946-DA521C57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Gauci</dc:creator>
  <cp:keywords/>
  <dc:description/>
  <cp:lastModifiedBy>Angela Morritt</cp:lastModifiedBy>
  <cp:revision>2</cp:revision>
  <cp:lastPrinted>2026-03-19T22:19:00Z</cp:lastPrinted>
  <dcterms:created xsi:type="dcterms:W3CDTF">2026-03-19T22:20:00Z</dcterms:created>
  <dcterms:modified xsi:type="dcterms:W3CDTF">2026-03-19T22:20:00Z</dcterms:modified>
</cp:coreProperties>
</file>